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77777777" w:rsidR="00A160B2" w:rsidRDefault="00784A42" w:rsidP="00784A42">
            <w:pPr>
              <w:pStyle w:val="Heading1"/>
            </w:pPr>
            <w:r>
              <w:t>Pension Fund C</w:t>
            </w:r>
            <w:r w:rsidR="00A160B2">
              <w:t>ommittee</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541B29E7" w:rsidR="00A160B2" w:rsidRPr="00CC2663" w:rsidRDefault="00F65E9D" w:rsidP="00603EC9">
            <w:pPr>
              <w:pStyle w:val="Infotext"/>
              <w:rPr>
                <w:rFonts w:cs="Arial"/>
                <w:szCs w:val="28"/>
              </w:rPr>
            </w:pPr>
            <w:r>
              <w:rPr>
                <w:rFonts w:cs="Arial"/>
                <w:szCs w:val="28"/>
              </w:rPr>
              <w:t>19</w:t>
            </w:r>
            <w:r w:rsidR="001C5A26" w:rsidRPr="00CC2663">
              <w:rPr>
                <w:rFonts w:cs="Arial"/>
                <w:szCs w:val="28"/>
              </w:rPr>
              <w:t xml:space="preserve"> </w:t>
            </w:r>
            <w:r>
              <w:rPr>
                <w:rFonts w:cs="Arial"/>
                <w:szCs w:val="28"/>
              </w:rPr>
              <w:t>September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5914456E" w14:textId="1B064522" w:rsidR="00A160B2" w:rsidRDefault="00E1468F" w:rsidP="00603EC9">
            <w:pPr>
              <w:pStyle w:val="Infotext"/>
              <w:rPr>
                <w:rFonts w:cs="Arial"/>
              </w:rPr>
            </w:pPr>
            <w:r w:rsidRPr="00E1468F">
              <w:rPr>
                <w:rFonts w:cs="Arial"/>
                <w:szCs w:val="28"/>
              </w:rPr>
              <w:t>Investments &amp; Managers Performance Review</w:t>
            </w: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3CF266C9" w14:textId="35F4A28C" w:rsidR="00A160B2" w:rsidRDefault="00837FA7" w:rsidP="00603EC9">
            <w:pPr>
              <w:pStyle w:val="Infotext"/>
              <w:rPr>
                <w:rFonts w:cs="Arial"/>
              </w:rPr>
            </w:pPr>
            <w:r>
              <w:rPr>
                <w:rFonts w:cs="Arial"/>
              </w:rPr>
              <w:t>Sharon Daniels</w:t>
            </w:r>
            <w:r w:rsidR="001C7629">
              <w:rPr>
                <w:rFonts w:cs="Arial"/>
              </w:rPr>
              <w:t xml:space="preserve"> – </w:t>
            </w:r>
            <w:r>
              <w:rPr>
                <w:rFonts w:cs="Arial"/>
              </w:rPr>
              <w:t xml:space="preserve">Acting </w:t>
            </w:r>
            <w:r w:rsidR="001C7629">
              <w:rPr>
                <w:rFonts w:cs="Arial"/>
              </w:rPr>
              <w:t xml:space="preserve">Director of Finance and Assurance </w:t>
            </w: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36B967A5" w14:textId="384E5007" w:rsidR="001C7629" w:rsidRDefault="001C7629" w:rsidP="001C7629">
            <w:pPr>
              <w:pStyle w:val="Infotext"/>
              <w:rPr>
                <w:rFonts w:cs="Arial"/>
              </w:rPr>
            </w:pPr>
            <w:r>
              <w:rPr>
                <w:rFonts w:cs="Arial"/>
                <w:szCs w:val="28"/>
              </w:rPr>
              <w:t>No - except for Appendix</w:t>
            </w:r>
            <w:r w:rsidR="00164428">
              <w:rPr>
                <w:rFonts w:cs="Arial"/>
                <w:szCs w:val="28"/>
              </w:rPr>
              <w:t xml:space="preserve"> </w:t>
            </w:r>
            <w:r>
              <w:rPr>
                <w:rFonts w:cs="Arial"/>
                <w:szCs w:val="28"/>
              </w:rPr>
              <w:t xml:space="preserve">3 and 4 which </w:t>
            </w:r>
            <w:r w:rsidR="00CC2663">
              <w:rPr>
                <w:rFonts w:cs="Arial"/>
                <w:szCs w:val="28"/>
              </w:rPr>
              <w:t xml:space="preserve">are </w:t>
            </w:r>
            <w:r w:rsidR="00CC2663" w:rsidRPr="00451341">
              <w:rPr>
                <w:rFonts w:cs="Arial"/>
                <w:szCs w:val="28"/>
              </w:rPr>
              <w:t>Exempt</w:t>
            </w:r>
            <w:r w:rsidRPr="00451341">
              <w:rPr>
                <w:rFonts w:cs="Arial"/>
                <w:szCs w:val="28"/>
              </w:rPr>
              <w:t xml:space="preserve"> from publication under paragraph 3, Part 1 of Schedule 12A to the Local Government Act 1972 (as amended) as it contains information relating to the financial or business affairs of any </w:t>
            </w:r>
            <w:proofErr w:type="gramStart"/>
            <w:r w:rsidRPr="00451341">
              <w:rPr>
                <w:rFonts w:cs="Arial"/>
                <w:szCs w:val="28"/>
              </w:rPr>
              <w:t>particular person</w:t>
            </w:r>
            <w:proofErr w:type="gramEnd"/>
            <w:r w:rsidRPr="00451341">
              <w:rPr>
                <w:rFonts w:cs="Arial"/>
                <w:szCs w:val="28"/>
              </w:rPr>
              <w:t xml:space="preserve"> (including the authority holding that information)</w:t>
            </w:r>
          </w:p>
          <w:p w14:paraId="4C873B59" w14:textId="77777777" w:rsidR="00A160B2" w:rsidRDefault="00A160B2" w:rsidP="00603EC9">
            <w:pPr>
              <w:pStyle w:val="Infotext"/>
              <w:rPr>
                <w:rFonts w:cs="Arial"/>
              </w:rPr>
            </w:pP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7B906090" w14:textId="77777777" w:rsidR="00A160B2" w:rsidRDefault="00A160B2" w:rsidP="00603EC9">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03EC9">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2C40228B" w14:textId="275B7845" w:rsidR="001C7629" w:rsidRPr="00CC2663" w:rsidRDefault="001C7629" w:rsidP="001C7629">
            <w:pPr>
              <w:pStyle w:val="Infotext"/>
              <w:rPr>
                <w:rFonts w:cs="Arial"/>
                <w:bCs/>
                <w:szCs w:val="28"/>
              </w:rPr>
            </w:pPr>
            <w:r w:rsidRPr="00CC2663">
              <w:rPr>
                <w:rFonts w:cs="Arial"/>
                <w:bCs/>
                <w:szCs w:val="28"/>
              </w:rPr>
              <w:t xml:space="preserve">Appendix 1: Investment Dashboard as </w:t>
            </w:r>
            <w:proofErr w:type="gramStart"/>
            <w:r w:rsidRPr="00CC2663">
              <w:rPr>
                <w:rFonts w:cs="Arial"/>
                <w:bCs/>
                <w:szCs w:val="28"/>
              </w:rPr>
              <w:t>at</w:t>
            </w:r>
            <w:proofErr w:type="gramEnd"/>
            <w:r w:rsidRPr="00CC2663">
              <w:rPr>
                <w:rFonts w:cs="Arial"/>
                <w:bCs/>
                <w:szCs w:val="28"/>
              </w:rPr>
              <w:t xml:space="preserve"> 3</w:t>
            </w:r>
            <w:r w:rsidR="00F65E9D">
              <w:rPr>
                <w:rFonts w:cs="Arial"/>
                <w:bCs/>
                <w:szCs w:val="28"/>
              </w:rPr>
              <w:t>0</w:t>
            </w:r>
            <w:r w:rsidR="00E94032" w:rsidRPr="00CC2663">
              <w:rPr>
                <w:rFonts w:cs="Arial"/>
                <w:bCs/>
                <w:szCs w:val="28"/>
              </w:rPr>
              <w:t xml:space="preserve"> </w:t>
            </w:r>
            <w:r w:rsidR="00F65E9D">
              <w:rPr>
                <w:rFonts w:cs="Arial"/>
                <w:bCs/>
                <w:szCs w:val="28"/>
              </w:rPr>
              <w:t>June</w:t>
            </w:r>
            <w:r w:rsidR="001C5A26" w:rsidRPr="00CC2663">
              <w:rPr>
                <w:rFonts w:cs="Arial"/>
                <w:bCs/>
                <w:szCs w:val="28"/>
              </w:rPr>
              <w:t xml:space="preserve"> 2023 (</w:t>
            </w:r>
            <w:r w:rsidRPr="00CC2663">
              <w:rPr>
                <w:rFonts w:cs="Arial"/>
                <w:bCs/>
                <w:szCs w:val="28"/>
              </w:rPr>
              <w:t>Aon)</w:t>
            </w:r>
          </w:p>
          <w:p w14:paraId="3379FA2D" w14:textId="4B762FE1" w:rsidR="001C7629" w:rsidRPr="00CC2663" w:rsidRDefault="001C7629" w:rsidP="001C7629">
            <w:pPr>
              <w:pStyle w:val="Default"/>
              <w:rPr>
                <w:bCs/>
                <w:sz w:val="28"/>
                <w:szCs w:val="28"/>
              </w:rPr>
            </w:pPr>
            <w:r w:rsidRPr="00CC2663">
              <w:rPr>
                <w:bCs/>
                <w:sz w:val="28"/>
                <w:szCs w:val="28"/>
              </w:rPr>
              <w:t xml:space="preserve">Appendix 2: PIRC Local Authority Pension Performance Indicators to </w:t>
            </w:r>
            <w:r w:rsidR="007B1BBB" w:rsidRPr="00CC2663">
              <w:rPr>
                <w:bCs/>
                <w:sz w:val="28"/>
                <w:szCs w:val="28"/>
              </w:rPr>
              <w:t>3</w:t>
            </w:r>
            <w:r w:rsidR="00F65E9D">
              <w:rPr>
                <w:bCs/>
                <w:sz w:val="28"/>
                <w:szCs w:val="28"/>
              </w:rPr>
              <w:t>0</w:t>
            </w:r>
            <w:r w:rsidR="00351F6B" w:rsidRPr="00CC2663">
              <w:rPr>
                <w:bCs/>
                <w:sz w:val="28"/>
                <w:szCs w:val="28"/>
              </w:rPr>
              <w:t xml:space="preserve"> </w:t>
            </w:r>
            <w:r w:rsidR="00F65E9D">
              <w:rPr>
                <w:bCs/>
                <w:sz w:val="28"/>
                <w:szCs w:val="28"/>
              </w:rPr>
              <w:t>June</w:t>
            </w:r>
            <w:r w:rsidR="001C5A26" w:rsidRPr="00CC2663">
              <w:rPr>
                <w:bCs/>
                <w:sz w:val="28"/>
                <w:szCs w:val="28"/>
              </w:rPr>
              <w:t xml:space="preserve"> 2023</w:t>
            </w:r>
          </w:p>
          <w:p w14:paraId="697F60DB" w14:textId="079900CB" w:rsidR="001C7629" w:rsidRPr="00CC2663" w:rsidRDefault="001C7629" w:rsidP="001C7629">
            <w:pPr>
              <w:pStyle w:val="Default"/>
              <w:rPr>
                <w:bCs/>
                <w:sz w:val="28"/>
                <w:szCs w:val="28"/>
              </w:rPr>
            </w:pPr>
            <w:r w:rsidRPr="00CC2663">
              <w:rPr>
                <w:bCs/>
                <w:sz w:val="28"/>
                <w:szCs w:val="28"/>
              </w:rPr>
              <w:t xml:space="preserve">(Exempt) Appendix 3 </w:t>
            </w:r>
            <w:r w:rsidR="00F65E9D">
              <w:rPr>
                <w:bCs/>
                <w:sz w:val="28"/>
                <w:szCs w:val="28"/>
              </w:rPr>
              <w:t xml:space="preserve">- </w:t>
            </w:r>
            <w:r w:rsidR="00F65E9D" w:rsidRPr="00CC2663">
              <w:rPr>
                <w:bCs/>
                <w:sz w:val="28"/>
                <w:szCs w:val="28"/>
              </w:rPr>
              <w:t xml:space="preserve">Executive Summary </w:t>
            </w:r>
            <w:r w:rsidR="00F65E9D">
              <w:rPr>
                <w:bCs/>
                <w:sz w:val="28"/>
                <w:szCs w:val="28"/>
              </w:rPr>
              <w:t xml:space="preserve">of </w:t>
            </w:r>
            <w:r w:rsidRPr="00CC2663">
              <w:rPr>
                <w:bCs/>
                <w:sz w:val="28"/>
                <w:szCs w:val="28"/>
              </w:rPr>
              <w:t>Manager Monitoring Report (Aon)</w:t>
            </w:r>
          </w:p>
          <w:p w14:paraId="56B3A536" w14:textId="2A19E456" w:rsidR="001C7629" w:rsidRPr="00CC2663" w:rsidRDefault="001C7629" w:rsidP="001C7629">
            <w:pPr>
              <w:pStyle w:val="Default"/>
              <w:rPr>
                <w:bCs/>
                <w:sz w:val="28"/>
                <w:szCs w:val="28"/>
              </w:rPr>
            </w:pPr>
            <w:r w:rsidRPr="00CC2663">
              <w:rPr>
                <w:bCs/>
                <w:sz w:val="28"/>
                <w:szCs w:val="28"/>
              </w:rPr>
              <w:t>(Exempt) Appendix 4 - Report from Independent Advisor</w:t>
            </w:r>
            <w:r w:rsidR="00517A3F" w:rsidRPr="00CC2663">
              <w:rPr>
                <w:bCs/>
                <w:sz w:val="28"/>
                <w:szCs w:val="28"/>
              </w:rPr>
              <w:t xml:space="preserve"> </w:t>
            </w:r>
          </w:p>
          <w:p w14:paraId="1848CAE4" w14:textId="0A68C203" w:rsidR="00A160B2" w:rsidRPr="00CC2663" w:rsidRDefault="001C7629" w:rsidP="001C7629">
            <w:pPr>
              <w:pStyle w:val="Infotext"/>
              <w:rPr>
                <w:bCs/>
                <w:szCs w:val="28"/>
              </w:rPr>
            </w:pPr>
            <w:r w:rsidRPr="00CC2663">
              <w:rPr>
                <w:bCs/>
                <w:szCs w:val="28"/>
              </w:rPr>
              <w:t>Appendix 5</w:t>
            </w:r>
            <w:r w:rsidR="001E752F">
              <w:rPr>
                <w:bCs/>
                <w:szCs w:val="28"/>
              </w:rPr>
              <w:t>a &amp; 5b</w:t>
            </w:r>
            <w:r w:rsidRPr="00CC2663">
              <w:rPr>
                <w:bCs/>
                <w:szCs w:val="28"/>
              </w:rPr>
              <w:t xml:space="preserve"> – Fund Valu</w:t>
            </w:r>
            <w:r w:rsidR="00A77232" w:rsidRPr="00CC2663">
              <w:rPr>
                <w:bCs/>
                <w:szCs w:val="28"/>
              </w:rPr>
              <w:t>ation</w:t>
            </w:r>
            <w:r w:rsidRPr="00CC2663">
              <w:rPr>
                <w:bCs/>
                <w:szCs w:val="28"/>
              </w:rPr>
              <w:t xml:space="preserve"> as </w:t>
            </w:r>
            <w:proofErr w:type="gramStart"/>
            <w:r w:rsidRPr="00CC2663">
              <w:rPr>
                <w:bCs/>
                <w:szCs w:val="28"/>
              </w:rPr>
              <w:t>at</w:t>
            </w:r>
            <w:proofErr w:type="gramEnd"/>
            <w:r w:rsidRPr="00CC2663">
              <w:rPr>
                <w:bCs/>
                <w:szCs w:val="28"/>
              </w:rPr>
              <w:t xml:space="preserve"> 3</w:t>
            </w:r>
            <w:r w:rsidR="00F65E9D">
              <w:rPr>
                <w:bCs/>
                <w:szCs w:val="28"/>
              </w:rPr>
              <w:t>0</w:t>
            </w:r>
            <w:r w:rsidR="001C5A26" w:rsidRPr="00CC2663">
              <w:rPr>
                <w:bCs/>
                <w:szCs w:val="28"/>
              </w:rPr>
              <w:t xml:space="preserve"> </w:t>
            </w:r>
            <w:r w:rsidR="00F65E9D">
              <w:rPr>
                <w:bCs/>
                <w:szCs w:val="28"/>
              </w:rPr>
              <w:t>June</w:t>
            </w:r>
            <w:r w:rsidR="001C5A26" w:rsidRPr="00CC2663">
              <w:rPr>
                <w:bCs/>
                <w:szCs w:val="28"/>
              </w:rPr>
              <w:t xml:space="preserve"> 2023</w:t>
            </w:r>
            <w:r w:rsidR="001E752F">
              <w:rPr>
                <w:bCs/>
                <w:szCs w:val="28"/>
              </w:rPr>
              <w:t xml:space="preserve"> &amp; 3</w:t>
            </w:r>
            <w:r w:rsidR="00F65E9D">
              <w:rPr>
                <w:bCs/>
                <w:szCs w:val="28"/>
              </w:rPr>
              <w:t>1</w:t>
            </w:r>
            <w:r w:rsidR="001E752F">
              <w:rPr>
                <w:bCs/>
                <w:szCs w:val="28"/>
              </w:rPr>
              <w:t xml:space="preserve"> </w:t>
            </w:r>
            <w:r w:rsidR="00F65E9D">
              <w:rPr>
                <w:bCs/>
                <w:szCs w:val="28"/>
              </w:rPr>
              <w:t>August</w:t>
            </w:r>
            <w:r w:rsidR="001E752F">
              <w:rPr>
                <w:bCs/>
                <w:szCs w:val="28"/>
              </w:rPr>
              <w:t xml:space="preserve"> 2023</w:t>
            </w:r>
            <w:r w:rsidRPr="00CC2663">
              <w:rPr>
                <w:bCs/>
                <w:szCs w:val="28"/>
              </w:rPr>
              <w:t xml:space="preserve"> </w:t>
            </w:r>
          </w:p>
          <w:p w14:paraId="4C232B02" w14:textId="48F4914D" w:rsidR="0082172F" w:rsidRPr="001A319C" w:rsidRDefault="0082172F" w:rsidP="001A319C">
            <w:pPr>
              <w:pStyle w:val="Infotext"/>
              <w:tabs>
                <w:tab w:val="center" w:pos="2352"/>
              </w:tabs>
              <w:rPr>
                <w:b/>
                <w:bCs/>
                <w:sz w:val="24"/>
                <w:szCs w:val="24"/>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F65E9D">
            <w:pPr>
              <w:jc w:val="both"/>
            </w:pPr>
            <w:r w:rsidRPr="0037270C">
              <w:t>This report updates the Committee on regular items as follows:</w:t>
            </w:r>
          </w:p>
          <w:p w14:paraId="02D81F98" w14:textId="536A3EFA" w:rsidR="001C7629" w:rsidRPr="0037270C" w:rsidRDefault="001C7629" w:rsidP="00F65E9D">
            <w:pPr>
              <w:numPr>
                <w:ilvl w:val="0"/>
                <w:numId w:val="16"/>
              </w:numPr>
              <w:jc w:val="both"/>
            </w:pPr>
            <w:r w:rsidRPr="0037270C">
              <w:t xml:space="preserve">Draft work programme </w:t>
            </w:r>
            <w:r w:rsidR="00B87E80">
              <w:t>for</w:t>
            </w:r>
            <w:r w:rsidR="001C5A26">
              <w:t xml:space="preserve"> the remainder of</w:t>
            </w:r>
            <w:r w:rsidR="00B87E80">
              <w:t xml:space="preserve"> 2023-24 </w:t>
            </w:r>
            <w:r w:rsidRPr="0037270C">
              <w:t xml:space="preserve">on which the Committee’s comments and agreement are requested. </w:t>
            </w:r>
          </w:p>
          <w:p w14:paraId="3840ACB0" w14:textId="77777777" w:rsidR="001C7629" w:rsidRPr="0037270C" w:rsidRDefault="001C7629" w:rsidP="00F65E9D">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43DC987B" w:rsidR="001C7629" w:rsidRPr="0037270C" w:rsidRDefault="001C7629" w:rsidP="00F65E9D">
            <w:pPr>
              <w:numPr>
                <w:ilvl w:val="0"/>
                <w:numId w:val="16"/>
              </w:numPr>
              <w:jc w:val="both"/>
            </w:pPr>
            <w:r w:rsidRPr="0037270C">
              <w:t xml:space="preserve">Fund performance to </w:t>
            </w:r>
            <w:r w:rsidR="00F65E9D" w:rsidRPr="00F65E9D">
              <w:t>30 June 2023</w:t>
            </w:r>
            <w:r w:rsidR="00F65E9D">
              <w:t xml:space="preserve"> and </w:t>
            </w:r>
            <w:r w:rsidR="00286484">
              <w:t>3</w:t>
            </w:r>
            <w:r w:rsidR="00925584">
              <w:t>1</w:t>
            </w:r>
            <w:r w:rsidR="00925584" w:rsidRPr="00925584">
              <w:rPr>
                <w:vertAlign w:val="superscript"/>
              </w:rPr>
              <w:t>st</w:t>
            </w:r>
            <w:r w:rsidR="00925584">
              <w:t xml:space="preserve"> </w:t>
            </w:r>
            <w:r w:rsidR="00F65E9D">
              <w:t>August</w:t>
            </w:r>
            <w:r w:rsidR="001C5A26">
              <w:t xml:space="preserve"> 2023</w:t>
            </w:r>
            <w:r w:rsidR="00B87E80">
              <w:t xml:space="preserve">  </w:t>
            </w:r>
          </w:p>
          <w:p w14:paraId="06141975" w14:textId="1C294D33" w:rsidR="001C7629" w:rsidRPr="0037270C" w:rsidRDefault="001C7629" w:rsidP="00F65E9D">
            <w:pPr>
              <w:numPr>
                <w:ilvl w:val="0"/>
                <w:numId w:val="16"/>
              </w:numPr>
              <w:jc w:val="both"/>
            </w:pPr>
            <w:r w:rsidRPr="0037270C">
              <w:t>Update</w:t>
            </w:r>
            <w:r w:rsidR="00F65E9D">
              <w:t xml:space="preserve"> on </w:t>
            </w:r>
            <w:r w:rsidR="00925584">
              <w:t xml:space="preserve">Audit of Annual </w:t>
            </w:r>
            <w:r w:rsidR="001C5A26">
              <w:t>R</w:t>
            </w:r>
            <w:r w:rsidR="00925584">
              <w:t>eport and Accounts for 2021-22</w:t>
            </w:r>
          </w:p>
          <w:p w14:paraId="2C9E4A81" w14:textId="77777777" w:rsidR="00A160B2" w:rsidRDefault="00A160B2"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6A0817D0" w:rsidR="00A160B2" w:rsidRDefault="001C7629" w:rsidP="00F65E9D">
            <w:pPr>
              <w:jc w:val="both"/>
            </w:pPr>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 xml:space="preserve">work programme for </w:t>
            </w:r>
            <w:r w:rsidR="001C5A26">
              <w:rPr>
                <w:rFonts w:cs="Arial"/>
                <w:szCs w:val="24"/>
              </w:rPr>
              <w:t xml:space="preserve">the remainder of </w:t>
            </w:r>
            <w:r w:rsidR="00925584">
              <w:rPr>
                <w:rFonts w:cs="Arial"/>
                <w:szCs w:val="24"/>
              </w:rPr>
              <w:t>2023-24</w:t>
            </w:r>
            <w:r>
              <w:rPr>
                <w:rFonts w:cs="Arial"/>
                <w:szCs w:val="24"/>
              </w:rPr>
              <w:t>.</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612FC1AC" w:rsidR="001C7629" w:rsidRPr="00755241" w:rsidRDefault="001C7629" w:rsidP="00001D28">
      <w:pPr>
        <w:numPr>
          <w:ilvl w:val="0"/>
          <w:numId w:val="16"/>
        </w:numPr>
        <w:ind w:firstLine="273"/>
        <w:jc w:val="both"/>
      </w:pPr>
      <w:r w:rsidRPr="00755241">
        <w:t xml:space="preserve">Draft work programme for </w:t>
      </w:r>
      <w:r>
        <w:t>202</w:t>
      </w:r>
      <w:r w:rsidR="00925584">
        <w:t>3-24</w:t>
      </w:r>
      <w:r w:rsidRPr="00755241">
        <w:t xml:space="preserve"> (Sub-section B)</w:t>
      </w:r>
    </w:p>
    <w:p w14:paraId="5BE697FE" w14:textId="77777777" w:rsidR="001C7629" w:rsidRDefault="001C7629" w:rsidP="00001D28">
      <w:pPr>
        <w:numPr>
          <w:ilvl w:val="0"/>
          <w:numId w:val="16"/>
        </w:numPr>
        <w:ind w:left="1418" w:hanging="425"/>
        <w:jc w:val="both"/>
      </w:pPr>
      <w:r>
        <w:t xml:space="preserve">Investment and Manager Performance Dashboard </w:t>
      </w:r>
      <w:r w:rsidRPr="00755241">
        <w:t>(Sub-section C)</w:t>
      </w:r>
      <w:r>
        <w:t xml:space="preserve"> and Appendix 1-4 </w:t>
      </w:r>
    </w:p>
    <w:p w14:paraId="3861D35A" w14:textId="5C5C5654" w:rsidR="001C7629" w:rsidRPr="00755241" w:rsidRDefault="001C7629" w:rsidP="00001D28">
      <w:pPr>
        <w:numPr>
          <w:ilvl w:val="0"/>
          <w:numId w:val="16"/>
        </w:numPr>
        <w:ind w:left="1418" w:hanging="425"/>
        <w:jc w:val="both"/>
      </w:pPr>
      <w:r>
        <w:t xml:space="preserve">Fund Performance and actions </w:t>
      </w:r>
      <w:r w:rsidRPr="00755241">
        <w:t xml:space="preserve">for periods ended </w:t>
      </w:r>
      <w:r w:rsidR="001A319C">
        <w:t>3</w:t>
      </w:r>
      <w:r w:rsidR="00F65E9D">
        <w:t>0 June</w:t>
      </w:r>
      <w:r w:rsidR="0088617A">
        <w:t xml:space="preserve"> </w:t>
      </w:r>
      <w:r w:rsidR="001A319C">
        <w:t>202</w:t>
      </w:r>
      <w:r w:rsidR="001E752F">
        <w:t>3</w:t>
      </w:r>
      <w:r w:rsidR="00ED48C9">
        <w:t xml:space="preserve"> </w:t>
      </w:r>
      <w:r>
        <w:t>(</w:t>
      </w:r>
      <w:r w:rsidR="00FC3F6A">
        <w:t xml:space="preserve">Sub-section D </w:t>
      </w:r>
      <w:r>
        <w:t>and Appendix 5</w:t>
      </w:r>
      <w:r w:rsidR="00FC3F6A">
        <w:t>)</w:t>
      </w:r>
      <w:r w:rsidR="005D43D1">
        <w:t xml:space="preserve"> </w:t>
      </w:r>
    </w:p>
    <w:p w14:paraId="1BF5E2A3" w14:textId="2EC6C057" w:rsidR="001C7629" w:rsidRDefault="001C7629" w:rsidP="00001D28">
      <w:pPr>
        <w:numPr>
          <w:ilvl w:val="0"/>
          <w:numId w:val="16"/>
        </w:numPr>
        <w:ind w:firstLine="273"/>
        <w:jc w:val="both"/>
      </w:pPr>
      <w:r w:rsidRPr="00755241">
        <w:t xml:space="preserve">Issues raised by Pension Board (Sub-section </w:t>
      </w:r>
      <w:r>
        <w:t>E</w:t>
      </w:r>
      <w:r w:rsidRPr="00755241">
        <w:t>)</w:t>
      </w:r>
    </w:p>
    <w:p w14:paraId="05C85986" w14:textId="65DC7933" w:rsidR="00925584" w:rsidRDefault="00925584" w:rsidP="00001D28">
      <w:pPr>
        <w:numPr>
          <w:ilvl w:val="0"/>
          <w:numId w:val="16"/>
        </w:numPr>
        <w:ind w:firstLine="273"/>
        <w:jc w:val="both"/>
      </w:pPr>
      <w:r>
        <w:t>Audit of 2021-22 Annual Report and Accounts (Sub-section F)</w:t>
      </w:r>
    </w:p>
    <w:p w14:paraId="430450DF" w14:textId="0F7319F4" w:rsidR="001C7629" w:rsidRDefault="00817E0F" w:rsidP="00001D28">
      <w:pPr>
        <w:numPr>
          <w:ilvl w:val="0"/>
          <w:numId w:val="16"/>
        </w:numPr>
        <w:ind w:firstLine="273"/>
        <w:jc w:val="both"/>
      </w:pPr>
      <w:r>
        <w:t xml:space="preserve">Other matters </w:t>
      </w:r>
    </w:p>
    <w:p w14:paraId="4DB7687A" w14:textId="77777777" w:rsidR="006D0E7A" w:rsidRPr="00755241" w:rsidRDefault="006D0E7A" w:rsidP="006D0E7A">
      <w:pPr>
        <w:ind w:left="1266"/>
      </w:pPr>
    </w:p>
    <w:p w14:paraId="179F43B2" w14:textId="140565C4" w:rsidR="001C7629" w:rsidRPr="00755241" w:rsidRDefault="001C7629" w:rsidP="001C7629">
      <w:pPr>
        <w:rPr>
          <w:b/>
        </w:rPr>
      </w:pPr>
      <w:r w:rsidRPr="00755241">
        <w:rPr>
          <w:b/>
        </w:rPr>
        <w:t>B</w:t>
      </w:r>
      <w:r w:rsidR="00CC2663">
        <w:rPr>
          <w:b/>
        </w:rPr>
        <w:t>.</w:t>
      </w:r>
      <w:r w:rsidRPr="00755241">
        <w:rPr>
          <w:b/>
        </w:rPr>
        <w:t xml:space="preserve"> Draft Work Programme </w:t>
      </w:r>
      <w:r w:rsidR="00925584">
        <w:rPr>
          <w:b/>
        </w:rPr>
        <w:t>2023-24</w:t>
      </w:r>
    </w:p>
    <w:p w14:paraId="53F4BE7B" w14:textId="77777777" w:rsidR="001C7629" w:rsidRPr="00755241" w:rsidRDefault="001C7629" w:rsidP="001C7629">
      <w:pPr>
        <w:rPr>
          <w:b/>
        </w:rPr>
      </w:pPr>
    </w:p>
    <w:p w14:paraId="525E8795" w14:textId="30989F79" w:rsidR="00925584" w:rsidRDefault="001C7629" w:rsidP="00603EC9">
      <w:pPr>
        <w:numPr>
          <w:ilvl w:val="0"/>
          <w:numId w:val="18"/>
        </w:numPr>
        <w:ind w:left="426" w:hanging="426"/>
        <w:jc w:val="both"/>
        <w:rPr>
          <w:szCs w:val="24"/>
        </w:rPr>
      </w:pPr>
      <w:r w:rsidRPr="001C5A26">
        <w:rPr>
          <w:szCs w:val="24"/>
        </w:rPr>
        <w:t>The dates set for future meetings of the Committee in the 202</w:t>
      </w:r>
      <w:r w:rsidR="00925584" w:rsidRPr="001C5A26">
        <w:rPr>
          <w:szCs w:val="24"/>
        </w:rPr>
        <w:t>3-24</w:t>
      </w:r>
      <w:r w:rsidRPr="001C5A26">
        <w:rPr>
          <w:szCs w:val="24"/>
        </w:rPr>
        <w:t xml:space="preserve"> </w:t>
      </w:r>
      <w:r w:rsidR="001C5A26" w:rsidRPr="001C5A26">
        <w:rPr>
          <w:szCs w:val="24"/>
        </w:rPr>
        <w:t>were approved by the Council on 18 May</w:t>
      </w:r>
      <w:r w:rsidR="00925584" w:rsidRPr="001C5A26">
        <w:rPr>
          <w:szCs w:val="24"/>
        </w:rPr>
        <w:t xml:space="preserve"> 2023. </w:t>
      </w:r>
    </w:p>
    <w:p w14:paraId="6A2ABBA6" w14:textId="77777777" w:rsidR="001C5A26" w:rsidRPr="001C5A26" w:rsidRDefault="001C5A26" w:rsidP="001C5A26">
      <w:pPr>
        <w:ind w:left="426"/>
        <w:jc w:val="both"/>
        <w:rPr>
          <w:szCs w:val="24"/>
        </w:rPr>
      </w:pPr>
    </w:p>
    <w:p w14:paraId="5D74B4E5" w14:textId="1E3495B5" w:rsidR="001C7629" w:rsidRDefault="001C5A26" w:rsidP="001C7629">
      <w:pPr>
        <w:numPr>
          <w:ilvl w:val="0"/>
          <w:numId w:val="18"/>
        </w:numPr>
        <w:ind w:left="426" w:hanging="426"/>
        <w:jc w:val="both"/>
      </w:pPr>
      <w:r>
        <w:t>The outline</w:t>
      </w:r>
      <w:r w:rsidR="001C7629">
        <w:t xml:space="preserve"> work programme </w:t>
      </w:r>
      <w:r>
        <w:t xml:space="preserve">reported to the Committee in March 2023 </w:t>
      </w:r>
      <w:r w:rsidR="001C7629">
        <w:t xml:space="preserve">has been </w:t>
      </w:r>
      <w:r>
        <w:t>updated</w:t>
      </w:r>
      <w:r w:rsidR="001C7629">
        <w:t xml:space="preserve"> </w:t>
      </w:r>
      <w:r w:rsidR="0088617A">
        <w:t xml:space="preserve">– the following items are currently expected to be reported to </w:t>
      </w:r>
      <w:r w:rsidR="00925584">
        <w:t>the Committee’s quarterly meetings</w:t>
      </w:r>
    </w:p>
    <w:p w14:paraId="39B9E1F2" w14:textId="77777777" w:rsidR="00925584" w:rsidRDefault="00925584" w:rsidP="00925584">
      <w:pPr>
        <w:pStyle w:val="ListParagraph"/>
      </w:pPr>
    </w:p>
    <w:tbl>
      <w:tblPr>
        <w:tblStyle w:val="TableGrid"/>
        <w:tblW w:w="0" w:type="auto"/>
        <w:tblLook w:val="04A0" w:firstRow="1" w:lastRow="0" w:firstColumn="1" w:lastColumn="0" w:noHBand="0" w:noVBand="1"/>
      </w:tblPr>
      <w:tblGrid>
        <w:gridCol w:w="2689"/>
        <w:gridCol w:w="5610"/>
      </w:tblGrid>
      <w:tr w:rsidR="00925584" w14:paraId="4DA8411B" w14:textId="77777777" w:rsidTr="00603EC9">
        <w:tc>
          <w:tcPr>
            <w:tcW w:w="2689" w:type="dxa"/>
          </w:tcPr>
          <w:p w14:paraId="2B1DD968" w14:textId="77777777" w:rsidR="00925584" w:rsidRDefault="00925584" w:rsidP="00603EC9">
            <w:pPr>
              <w:jc w:val="center"/>
              <w:rPr>
                <w:b/>
              </w:rPr>
            </w:pPr>
          </w:p>
          <w:p w14:paraId="332A321D" w14:textId="77777777" w:rsidR="00925584" w:rsidRDefault="00925584" w:rsidP="00603EC9">
            <w:pPr>
              <w:jc w:val="center"/>
              <w:rPr>
                <w:b/>
              </w:rPr>
            </w:pPr>
            <w:r>
              <w:rPr>
                <w:b/>
              </w:rPr>
              <w:t>Meeting</w:t>
            </w:r>
          </w:p>
          <w:p w14:paraId="74D15960" w14:textId="77777777" w:rsidR="00925584" w:rsidRDefault="00925584" w:rsidP="00603EC9">
            <w:pPr>
              <w:jc w:val="center"/>
              <w:rPr>
                <w:b/>
              </w:rPr>
            </w:pPr>
          </w:p>
        </w:tc>
        <w:tc>
          <w:tcPr>
            <w:tcW w:w="5610" w:type="dxa"/>
          </w:tcPr>
          <w:p w14:paraId="1E5EA5B9" w14:textId="77777777" w:rsidR="00925584" w:rsidRDefault="00925584" w:rsidP="00603EC9">
            <w:pPr>
              <w:jc w:val="center"/>
              <w:rPr>
                <w:b/>
              </w:rPr>
            </w:pPr>
          </w:p>
          <w:p w14:paraId="300868C6" w14:textId="77777777" w:rsidR="00925584" w:rsidRDefault="00925584" w:rsidP="00603EC9">
            <w:pPr>
              <w:jc w:val="center"/>
              <w:rPr>
                <w:b/>
              </w:rPr>
            </w:pPr>
            <w:r>
              <w:rPr>
                <w:b/>
              </w:rPr>
              <w:t>Item</w:t>
            </w:r>
          </w:p>
        </w:tc>
      </w:tr>
      <w:tr w:rsidR="00925584" w:rsidRPr="00ED48C9" w14:paraId="626AB25A" w14:textId="77777777" w:rsidTr="00603EC9">
        <w:tc>
          <w:tcPr>
            <w:tcW w:w="2689" w:type="dxa"/>
          </w:tcPr>
          <w:p w14:paraId="4AD68618" w14:textId="77777777" w:rsidR="00925584" w:rsidRDefault="00925584" w:rsidP="00603EC9">
            <w:pPr>
              <w:rPr>
                <w:b/>
              </w:rPr>
            </w:pPr>
          </w:p>
          <w:p w14:paraId="22E32608" w14:textId="77777777" w:rsidR="00925584" w:rsidRDefault="00925584" w:rsidP="00603EC9">
            <w:pPr>
              <w:rPr>
                <w:b/>
              </w:rPr>
            </w:pPr>
            <w:r>
              <w:rPr>
                <w:b/>
              </w:rPr>
              <w:t>All Meetings</w:t>
            </w:r>
          </w:p>
        </w:tc>
        <w:tc>
          <w:tcPr>
            <w:tcW w:w="5610" w:type="dxa"/>
          </w:tcPr>
          <w:p w14:paraId="7F36B62D" w14:textId="77777777" w:rsidR="00925584" w:rsidRPr="00ED48C9" w:rsidRDefault="00925584" w:rsidP="00603EC9">
            <w:pPr>
              <w:rPr>
                <w:bCs/>
              </w:rPr>
            </w:pPr>
            <w:r w:rsidRPr="00ED48C9">
              <w:rPr>
                <w:bCs/>
              </w:rPr>
              <w:t>Regular Items update</w:t>
            </w:r>
          </w:p>
          <w:p w14:paraId="70F7E22B" w14:textId="77777777" w:rsidR="00925584" w:rsidRDefault="00925584" w:rsidP="00603EC9">
            <w:pPr>
              <w:pStyle w:val="ListParagraph"/>
              <w:numPr>
                <w:ilvl w:val="0"/>
                <w:numId w:val="26"/>
              </w:numPr>
              <w:rPr>
                <w:bCs/>
              </w:rPr>
            </w:pPr>
            <w:r>
              <w:rPr>
                <w:bCs/>
              </w:rPr>
              <w:t>Work Programme</w:t>
            </w:r>
          </w:p>
          <w:p w14:paraId="70AC7558" w14:textId="77777777" w:rsidR="00925584" w:rsidRDefault="00925584" w:rsidP="00603EC9">
            <w:pPr>
              <w:pStyle w:val="ListParagraph"/>
              <w:numPr>
                <w:ilvl w:val="0"/>
                <w:numId w:val="26"/>
              </w:numPr>
              <w:rPr>
                <w:bCs/>
              </w:rPr>
            </w:pPr>
            <w:r>
              <w:rPr>
                <w:bCs/>
              </w:rPr>
              <w:t xml:space="preserve">Pension Board Items </w:t>
            </w:r>
          </w:p>
          <w:p w14:paraId="231E9633" w14:textId="77777777" w:rsidR="00925584" w:rsidRPr="00ED48C9" w:rsidRDefault="00925584" w:rsidP="00603EC9">
            <w:pPr>
              <w:pStyle w:val="ListParagraph"/>
              <w:numPr>
                <w:ilvl w:val="0"/>
                <w:numId w:val="26"/>
              </w:numPr>
              <w:rPr>
                <w:bCs/>
              </w:rPr>
            </w:pPr>
            <w:r w:rsidRPr="00ED48C9">
              <w:rPr>
                <w:bCs/>
              </w:rPr>
              <w:t xml:space="preserve">Performance </w:t>
            </w:r>
          </w:p>
          <w:p w14:paraId="6774E549" w14:textId="77777777" w:rsidR="00925584" w:rsidRPr="00ED48C9" w:rsidRDefault="00925584" w:rsidP="00603EC9">
            <w:pPr>
              <w:pStyle w:val="ListParagraph"/>
              <w:numPr>
                <w:ilvl w:val="0"/>
                <w:numId w:val="26"/>
              </w:numPr>
              <w:rPr>
                <w:bCs/>
              </w:rPr>
            </w:pPr>
            <w:r w:rsidRPr="00ED48C9">
              <w:rPr>
                <w:bCs/>
              </w:rPr>
              <w:t>Fund valuation / Dashboard</w:t>
            </w:r>
          </w:p>
          <w:p w14:paraId="0A8D1BA8" w14:textId="642FEB0E" w:rsidR="00925584" w:rsidRPr="00ED48C9" w:rsidRDefault="00925584" w:rsidP="00603EC9">
            <w:pPr>
              <w:pStyle w:val="ListParagraph"/>
              <w:numPr>
                <w:ilvl w:val="0"/>
                <w:numId w:val="26"/>
              </w:numPr>
              <w:rPr>
                <w:bCs/>
              </w:rPr>
            </w:pPr>
            <w:r>
              <w:rPr>
                <w:bCs/>
              </w:rPr>
              <w:t>Manager Monitoring</w:t>
            </w:r>
          </w:p>
        </w:tc>
      </w:tr>
      <w:tr w:rsidR="00925584" w:rsidRPr="00ED48C9" w14:paraId="58DA20D8" w14:textId="77777777" w:rsidTr="00603EC9">
        <w:tc>
          <w:tcPr>
            <w:tcW w:w="2689" w:type="dxa"/>
          </w:tcPr>
          <w:p w14:paraId="32491AFC" w14:textId="77777777" w:rsidR="00925584" w:rsidRDefault="00925584" w:rsidP="00603EC9">
            <w:pPr>
              <w:rPr>
                <w:b/>
              </w:rPr>
            </w:pPr>
          </w:p>
        </w:tc>
        <w:tc>
          <w:tcPr>
            <w:tcW w:w="5610" w:type="dxa"/>
          </w:tcPr>
          <w:p w14:paraId="399D0BCA" w14:textId="77777777" w:rsidR="00925584" w:rsidRPr="00ED48C9" w:rsidRDefault="00925584" w:rsidP="00603EC9">
            <w:pPr>
              <w:rPr>
                <w:bCs/>
              </w:rPr>
            </w:pPr>
          </w:p>
        </w:tc>
      </w:tr>
      <w:tr w:rsidR="00925584" w:rsidRPr="00ED48C9" w14:paraId="027651D0" w14:textId="77777777" w:rsidTr="00603EC9">
        <w:tc>
          <w:tcPr>
            <w:tcW w:w="2689" w:type="dxa"/>
          </w:tcPr>
          <w:p w14:paraId="432ADDDA" w14:textId="1DCFB004" w:rsidR="00925584" w:rsidRDefault="00A45751" w:rsidP="00603EC9">
            <w:pPr>
              <w:rPr>
                <w:b/>
              </w:rPr>
            </w:pPr>
            <w:r>
              <w:rPr>
                <w:b/>
              </w:rPr>
              <w:t xml:space="preserve">19 </w:t>
            </w:r>
            <w:r w:rsidR="001C5A26">
              <w:rPr>
                <w:b/>
              </w:rPr>
              <w:t>September</w:t>
            </w:r>
            <w:r w:rsidR="00925584">
              <w:rPr>
                <w:b/>
              </w:rPr>
              <w:t xml:space="preserve"> 2023</w:t>
            </w:r>
          </w:p>
        </w:tc>
        <w:tc>
          <w:tcPr>
            <w:tcW w:w="5610" w:type="dxa"/>
          </w:tcPr>
          <w:p w14:paraId="5E8DD6CD" w14:textId="4B9C226F" w:rsidR="00925584" w:rsidRPr="00ED48C9" w:rsidRDefault="00F65E9D" w:rsidP="00603EC9">
            <w:pPr>
              <w:rPr>
                <w:bCs/>
              </w:rPr>
            </w:pPr>
            <w:r>
              <w:rPr>
                <w:bCs/>
              </w:rPr>
              <w:t>Draft PF Annual report 2022-23</w:t>
            </w:r>
          </w:p>
        </w:tc>
      </w:tr>
      <w:tr w:rsidR="00751C86" w:rsidRPr="00ED48C9" w14:paraId="79E0206F" w14:textId="77777777" w:rsidTr="00603EC9">
        <w:tc>
          <w:tcPr>
            <w:tcW w:w="2689" w:type="dxa"/>
          </w:tcPr>
          <w:p w14:paraId="04D9EFCE" w14:textId="77777777" w:rsidR="00751C86" w:rsidRDefault="00751C86" w:rsidP="00603EC9">
            <w:pPr>
              <w:rPr>
                <w:b/>
              </w:rPr>
            </w:pPr>
          </w:p>
        </w:tc>
        <w:tc>
          <w:tcPr>
            <w:tcW w:w="5610" w:type="dxa"/>
          </w:tcPr>
          <w:p w14:paraId="37D17772" w14:textId="0819AC2F" w:rsidR="00751C86" w:rsidRDefault="00751C86" w:rsidP="00603EC9">
            <w:pPr>
              <w:rPr>
                <w:bCs/>
              </w:rPr>
            </w:pPr>
            <w:r>
              <w:rPr>
                <w:bCs/>
              </w:rPr>
              <w:t>Review of Internal Controls at Investment Managers</w:t>
            </w:r>
          </w:p>
        </w:tc>
      </w:tr>
      <w:tr w:rsidR="00751C86" w:rsidRPr="00ED48C9" w14:paraId="6A3082A7" w14:textId="77777777" w:rsidTr="00603EC9">
        <w:tc>
          <w:tcPr>
            <w:tcW w:w="2689" w:type="dxa"/>
          </w:tcPr>
          <w:p w14:paraId="2A4D1818" w14:textId="77777777" w:rsidR="00751C86" w:rsidRDefault="00751C86" w:rsidP="00751C86">
            <w:pPr>
              <w:rPr>
                <w:b/>
              </w:rPr>
            </w:pPr>
          </w:p>
        </w:tc>
        <w:tc>
          <w:tcPr>
            <w:tcW w:w="5610" w:type="dxa"/>
          </w:tcPr>
          <w:p w14:paraId="6AA229F5" w14:textId="2EC53A60" w:rsidR="00751C86" w:rsidRPr="00ED48C9" w:rsidRDefault="00751C86" w:rsidP="00751C86">
            <w:pPr>
              <w:rPr>
                <w:bCs/>
              </w:rPr>
            </w:pPr>
            <w:r>
              <w:rPr>
                <w:bCs/>
              </w:rPr>
              <w:t>LCIV and Investment Pooling Update</w:t>
            </w:r>
          </w:p>
        </w:tc>
      </w:tr>
      <w:tr w:rsidR="00751C86" w:rsidRPr="00ED48C9" w14:paraId="7A6264C0" w14:textId="77777777" w:rsidTr="00603EC9">
        <w:tc>
          <w:tcPr>
            <w:tcW w:w="2689" w:type="dxa"/>
          </w:tcPr>
          <w:p w14:paraId="25BE4824" w14:textId="77777777" w:rsidR="00751C86" w:rsidRDefault="00751C86" w:rsidP="00751C86">
            <w:pPr>
              <w:rPr>
                <w:b/>
              </w:rPr>
            </w:pPr>
          </w:p>
        </w:tc>
        <w:tc>
          <w:tcPr>
            <w:tcW w:w="5610" w:type="dxa"/>
          </w:tcPr>
          <w:p w14:paraId="0FE25EFA" w14:textId="7DFB738B" w:rsidR="00751C86" w:rsidRPr="00ED48C9" w:rsidRDefault="00135B2B" w:rsidP="00751C86">
            <w:pPr>
              <w:rPr>
                <w:bCs/>
              </w:rPr>
            </w:pPr>
            <w:r>
              <w:rPr>
                <w:bCs/>
              </w:rPr>
              <w:t>Investment Strategy Review</w:t>
            </w:r>
          </w:p>
        </w:tc>
      </w:tr>
      <w:tr w:rsidR="00751C86" w:rsidRPr="00ED48C9" w14:paraId="4BDC944F" w14:textId="77777777" w:rsidTr="00603EC9">
        <w:tc>
          <w:tcPr>
            <w:tcW w:w="2689" w:type="dxa"/>
          </w:tcPr>
          <w:p w14:paraId="2BC001FA" w14:textId="77777777" w:rsidR="00751C86" w:rsidRDefault="00751C86" w:rsidP="00751C86">
            <w:pPr>
              <w:rPr>
                <w:b/>
              </w:rPr>
            </w:pPr>
          </w:p>
        </w:tc>
        <w:tc>
          <w:tcPr>
            <w:tcW w:w="5610" w:type="dxa"/>
          </w:tcPr>
          <w:p w14:paraId="0018A0C7" w14:textId="77777777" w:rsidR="00751C86" w:rsidRPr="00ED48C9" w:rsidRDefault="00751C86" w:rsidP="00751C86">
            <w:pPr>
              <w:rPr>
                <w:bCs/>
              </w:rPr>
            </w:pPr>
          </w:p>
        </w:tc>
      </w:tr>
      <w:tr w:rsidR="00751C86" w:rsidRPr="00ED48C9" w14:paraId="11F389AB" w14:textId="77777777" w:rsidTr="00603EC9">
        <w:tc>
          <w:tcPr>
            <w:tcW w:w="2689" w:type="dxa"/>
          </w:tcPr>
          <w:p w14:paraId="6832865F" w14:textId="2CE5EEBF" w:rsidR="00751C86" w:rsidRDefault="00A45751" w:rsidP="00751C86">
            <w:pPr>
              <w:rPr>
                <w:b/>
              </w:rPr>
            </w:pPr>
            <w:r>
              <w:rPr>
                <w:b/>
              </w:rPr>
              <w:t>21 November</w:t>
            </w:r>
            <w:r w:rsidR="00751C86">
              <w:rPr>
                <w:b/>
              </w:rPr>
              <w:t xml:space="preserve"> 2023</w:t>
            </w:r>
          </w:p>
        </w:tc>
        <w:tc>
          <w:tcPr>
            <w:tcW w:w="5610" w:type="dxa"/>
          </w:tcPr>
          <w:p w14:paraId="7559D2A9" w14:textId="665BE933" w:rsidR="00751C86" w:rsidRPr="00ED48C9" w:rsidRDefault="00F65E9D" w:rsidP="00751C86">
            <w:pPr>
              <w:rPr>
                <w:bCs/>
              </w:rPr>
            </w:pPr>
            <w:r>
              <w:rPr>
                <w:bCs/>
              </w:rPr>
              <w:t>Outcome of Audit of Accounts for 2021-22</w:t>
            </w:r>
          </w:p>
        </w:tc>
      </w:tr>
      <w:tr w:rsidR="00F65E9D" w:rsidRPr="00ED48C9" w14:paraId="4BA8EE30" w14:textId="77777777" w:rsidTr="00603EC9">
        <w:tc>
          <w:tcPr>
            <w:tcW w:w="2689" w:type="dxa"/>
          </w:tcPr>
          <w:p w14:paraId="7AE26E0A" w14:textId="77777777" w:rsidR="00F65E9D" w:rsidRDefault="00F65E9D" w:rsidP="00F65E9D">
            <w:pPr>
              <w:rPr>
                <w:b/>
              </w:rPr>
            </w:pPr>
          </w:p>
        </w:tc>
        <w:tc>
          <w:tcPr>
            <w:tcW w:w="5610" w:type="dxa"/>
          </w:tcPr>
          <w:p w14:paraId="5BA45DA2" w14:textId="75D1E038" w:rsidR="00F65E9D" w:rsidRDefault="00F65E9D" w:rsidP="00F65E9D">
            <w:pPr>
              <w:rPr>
                <w:bCs/>
              </w:rPr>
            </w:pPr>
            <w:r>
              <w:rPr>
                <w:bCs/>
              </w:rPr>
              <w:t>Actuarial Services Contract – outcome of tender process</w:t>
            </w:r>
          </w:p>
        </w:tc>
      </w:tr>
      <w:tr w:rsidR="00F65E9D" w:rsidRPr="00ED48C9" w14:paraId="0DFD5603" w14:textId="77777777" w:rsidTr="00603EC9">
        <w:tc>
          <w:tcPr>
            <w:tcW w:w="2689" w:type="dxa"/>
          </w:tcPr>
          <w:p w14:paraId="446D0FA8" w14:textId="77777777" w:rsidR="00F65E9D" w:rsidRDefault="00F65E9D" w:rsidP="00F65E9D">
            <w:pPr>
              <w:rPr>
                <w:b/>
              </w:rPr>
            </w:pPr>
          </w:p>
        </w:tc>
        <w:tc>
          <w:tcPr>
            <w:tcW w:w="5610" w:type="dxa"/>
          </w:tcPr>
          <w:p w14:paraId="26FE89E8" w14:textId="598B8BE1" w:rsidR="00F65E9D" w:rsidRPr="00ED48C9" w:rsidRDefault="00F65E9D" w:rsidP="00F65E9D">
            <w:pPr>
              <w:rPr>
                <w:bCs/>
              </w:rPr>
            </w:pPr>
            <w:r>
              <w:rPr>
                <w:bCs/>
              </w:rPr>
              <w:t xml:space="preserve">External Audit Plan for 2022-23 </w:t>
            </w:r>
          </w:p>
        </w:tc>
      </w:tr>
      <w:tr w:rsidR="00F65E9D" w:rsidRPr="00ED48C9" w14:paraId="0FC6D393" w14:textId="77777777" w:rsidTr="00603EC9">
        <w:tc>
          <w:tcPr>
            <w:tcW w:w="2689" w:type="dxa"/>
          </w:tcPr>
          <w:p w14:paraId="4489EB22" w14:textId="77777777" w:rsidR="00F65E9D" w:rsidRDefault="00F65E9D" w:rsidP="00F65E9D">
            <w:pPr>
              <w:rPr>
                <w:b/>
              </w:rPr>
            </w:pPr>
          </w:p>
        </w:tc>
        <w:tc>
          <w:tcPr>
            <w:tcW w:w="5610" w:type="dxa"/>
          </w:tcPr>
          <w:p w14:paraId="7A0E4054" w14:textId="097203A3" w:rsidR="00F65E9D" w:rsidRPr="00ED48C9" w:rsidRDefault="00F65E9D" w:rsidP="00F65E9D">
            <w:pPr>
              <w:rPr>
                <w:bCs/>
              </w:rPr>
            </w:pPr>
            <w:r>
              <w:rPr>
                <w:bCs/>
              </w:rPr>
              <w:t>Review of Pension Fund Risk Register</w:t>
            </w:r>
          </w:p>
        </w:tc>
      </w:tr>
      <w:tr w:rsidR="00F65E9D" w:rsidRPr="00ED48C9" w14:paraId="76F28FB8" w14:textId="77777777" w:rsidTr="00603EC9">
        <w:tc>
          <w:tcPr>
            <w:tcW w:w="2689" w:type="dxa"/>
          </w:tcPr>
          <w:p w14:paraId="4AD96491" w14:textId="77777777" w:rsidR="00F65E9D" w:rsidRDefault="00F65E9D" w:rsidP="00F65E9D">
            <w:pPr>
              <w:rPr>
                <w:b/>
              </w:rPr>
            </w:pPr>
          </w:p>
        </w:tc>
        <w:tc>
          <w:tcPr>
            <w:tcW w:w="5610" w:type="dxa"/>
          </w:tcPr>
          <w:p w14:paraId="10F3E05A" w14:textId="328C90E9" w:rsidR="00F65E9D" w:rsidRPr="00ED48C9" w:rsidRDefault="00F65E9D" w:rsidP="00F65E9D">
            <w:pPr>
              <w:rPr>
                <w:bCs/>
              </w:rPr>
            </w:pPr>
            <w:r>
              <w:rPr>
                <w:bCs/>
              </w:rPr>
              <w:t>Investment Strategy Review</w:t>
            </w:r>
          </w:p>
        </w:tc>
      </w:tr>
      <w:tr w:rsidR="00F65E9D" w:rsidRPr="00ED48C9" w14:paraId="7A068B3D" w14:textId="77777777" w:rsidTr="00603EC9">
        <w:tc>
          <w:tcPr>
            <w:tcW w:w="2689" w:type="dxa"/>
          </w:tcPr>
          <w:p w14:paraId="52807A6E" w14:textId="58779BFA" w:rsidR="00F65E9D" w:rsidRDefault="00F65E9D" w:rsidP="00F65E9D">
            <w:pPr>
              <w:rPr>
                <w:b/>
              </w:rPr>
            </w:pPr>
          </w:p>
        </w:tc>
        <w:tc>
          <w:tcPr>
            <w:tcW w:w="5610" w:type="dxa"/>
          </w:tcPr>
          <w:p w14:paraId="25E5C014" w14:textId="348E1EB8" w:rsidR="00F65E9D" w:rsidRPr="00ED48C9" w:rsidRDefault="00F65E9D" w:rsidP="00F65E9D">
            <w:pPr>
              <w:rPr>
                <w:bCs/>
              </w:rPr>
            </w:pPr>
          </w:p>
        </w:tc>
      </w:tr>
      <w:tr w:rsidR="00F65E9D" w:rsidRPr="00ED48C9" w14:paraId="73093B7C" w14:textId="77777777" w:rsidTr="00603EC9">
        <w:tc>
          <w:tcPr>
            <w:tcW w:w="2689" w:type="dxa"/>
          </w:tcPr>
          <w:p w14:paraId="6818AA67" w14:textId="69EBB82D" w:rsidR="00F65E9D" w:rsidRDefault="00F65E9D" w:rsidP="00F65E9D">
            <w:pPr>
              <w:rPr>
                <w:b/>
              </w:rPr>
            </w:pPr>
            <w:r>
              <w:rPr>
                <w:b/>
              </w:rPr>
              <w:t>12 March 2024</w:t>
            </w:r>
          </w:p>
        </w:tc>
        <w:tc>
          <w:tcPr>
            <w:tcW w:w="5610" w:type="dxa"/>
          </w:tcPr>
          <w:p w14:paraId="154E2C61" w14:textId="55A00665" w:rsidR="00F65E9D" w:rsidRPr="00ED48C9" w:rsidRDefault="00F65E9D" w:rsidP="00F65E9D">
            <w:pPr>
              <w:rPr>
                <w:bCs/>
              </w:rPr>
            </w:pPr>
            <w:r>
              <w:rPr>
                <w:bCs/>
              </w:rPr>
              <w:t>Investment Strategy Review</w:t>
            </w:r>
          </w:p>
        </w:tc>
      </w:tr>
      <w:tr w:rsidR="00F65E9D" w:rsidRPr="00ED48C9" w14:paraId="1689C68D" w14:textId="77777777" w:rsidTr="00603EC9">
        <w:tc>
          <w:tcPr>
            <w:tcW w:w="2689" w:type="dxa"/>
          </w:tcPr>
          <w:p w14:paraId="443BF15E" w14:textId="77777777" w:rsidR="00F65E9D" w:rsidRDefault="00F65E9D" w:rsidP="00F65E9D">
            <w:pPr>
              <w:rPr>
                <w:b/>
              </w:rPr>
            </w:pPr>
          </w:p>
        </w:tc>
        <w:tc>
          <w:tcPr>
            <w:tcW w:w="5610" w:type="dxa"/>
          </w:tcPr>
          <w:p w14:paraId="4AA77D96" w14:textId="7E44C768" w:rsidR="00F65E9D" w:rsidRPr="00ED48C9" w:rsidRDefault="00F65E9D" w:rsidP="00F65E9D">
            <w:pPr>
              <w:rPr>
                <w:bCs/>
              </w:rPr>
            </w:pPr>
            <w:r>
              <w:rPr>
                <w:bCs/>
              </w:rPr>
              <w:t>LCIV and Investment Pooling Update</w:t>
            </w:r>
          </w:p>
        </w:tc>
      </w:tr>
      <w:tr w:rsidR="00F65E9D" w:rsidRPr="00ED48C9" w14:paraId="33D476A4" w14:textId="77777777" w:rsidTr="00603EC9">
        <w:tc>
          <w:tcPr>
            <w:tcW w:w="2689" w:type="dxa"/>
          </w:tcPr>
          <w:p w14:paraId="789764D5" w14:textId="77777777" w:rsidR="00F65E9D" w:rsidRDefault="00F65E9D" w:rsidP="00F65E9D">
            <w:pPr>
              <w:rPr>
                <w:b/>
              </w:rPr>
            </w:pPr>
          </w:p>
        </w:tc>
        <w:tc>
          <w:tcPr>
            <w:tcW w:w="5610" w:type="dxa"/>
          </w:tcPr>
          <w:p w14:paraId="63043790" w14:textId="78D8378F" w:rsidR="00F65E9D" w:rsidRDefault="00F65E9D" w:rsidP="00F65E9D">
            <w:pPr>
              <w:rPr>
                <w:bCs/>
              </w:rPr>
            </w:pPr>
            <w:r>
              <w:rPr>
                <w:bCs/>
              </w:rPr>
              <w:t>Investment Consultancy Services Contract – outcome of tender process</w:t>
            </w:r>
          </w:p>
        </w:tc>
      </w:tr>
      <w:tr w:rsidR="00F65E9D" w:rsidRPr="00ED48C9" w14:paraId="51D6CEE8" w14:textId="77777777" w:rsidTr="00603EC9">
        <w:tc>
          <w:tcPr>
            <w:tcW w:w="2689" w:type="dxa"/>
          </w:tcPr>
          <w:p w14:paraId="4ACE499B" w14:textId="77777777" w:rsidR="00F65E9D" w:rsidRDefault="00F65E9D" w:rsidP="00F65E9D">
            <w:pPr>
              <w:rPr>
                <w:b/>
              </w:rPr>
            </w:pPr>
          </w:p>
        </w:tc>
        <w:tc>
          <w:tcPr>
            <w:tcW w:w="5610" w:type="dxa"/>
          </w:tcPr>
          <w:p w14:paraId="66EA9EB1" w14:textId="4E0267B2" w:rsidR="00F65E9D" w:rsidRPr="00ED48C9" w:rsidRDefault="00F65E9D" w:rsidP="00F65E9D">
            <w:pPr>
              <w:rPr>
                <w:bCs/>
              </w:rPr>
            </w:pPr>
            <w:r>
              <w:rPr>
                <w:bCs/>
              </w:rPr>
              <w:t>Climate Change Reporting Update</w:t>
            </w:r>
          </w:p>
        </w:tc>
      </w:tr>
      <w:tr w:rsidR="00F65E9D" w:rsidRPr="00ED48C9" w14:paraId="358FFEB1" w14:textId="77777777" w:rsidTr="00603EC9">
        <w:tc>
          <w:tcPr>
            <w:tcW w:w="2689" w:type="dxa"/>
          </w:tcPr>
          <w:p w14:paraId="1FDB915D" w14:textId="77777777" w:rsidR="00F65E9D" w:rsidRDefault="00F65E9D" w:rsidP="00F65E9D">
            <w:pPr>
              <w:rPr>
                <w:b/>
              </w:rPr>
            </w:pPr>
          </w:p>
        </w:tc>
        <w:tc>
          <w:tcPr>
            <w:tcW w:w="5610" w:type="dxa"/>
          </w:tcPr>
          <w:p w14:paraId="456457FA" w14:textId="77777777" w:rsidR="00F65E9D" w:rsidRDefault="00F65E9D" w:rsidP="00F65E9D">
            <w:pPr>
              <w:rPr>
                <w:bCs/>
              </w:rPr>
            </w:pPr>
          </w:p>
        </w:tc>
      </w:tr>
      <w:tr w:rsidR="00F65E9D" w:rsidRPr="00ED48C9" w14:paraId="7E440896" w14:textId="77777777" w:rsidTr="00603EC9">
        <w:tc>
          <w:tcPr>
            <w:tcW w:w="8299" w:type="dxa"/>
            <w:gridSpan w:val="2"/>
          </w:tcPr>
          <w:p w14:paraId="77DD4243" w14:textId="4343AF17" w:rsidR="00F65E9D" w:rsidRDefault="00F65E9D" w:rsidP="00F65E9D">
            <w:pPr>
              <w:rPr>
                <w:bCs/>
              </w:rPr>
            </w:pPr>
            <w:r>
              <w:rPr>
                <w:b/>
              </w:rPr>
              <w:t xml:space="preserve">Items to be scheduled when information is available </w:t>
            </w:r>
          </w:p>
        </w:tc>
      </w:tr>
      <w:tr w:rsidR="00F65E9D" w:rsidRPr="00ED48C9" w14:paraId="66A38235" w14:textId="77777777" w:rsidTr="00603EC9">
        <w:tc>
          <w:tcPr>
            <w:tcW w:w="2689" w:type="dxa"/>
          </w:tcPr>
          <w:p w14:paraId="54011F06" w14:textId="77777777" w:rsidR="00F65E9D" w:rsidRDefault="00F65E9D" w:rsidP="00F65E9D">
            <w:pPr>
              <w:rPr>
                <w:b/>
              </w:rPr>
            </w:pPr>
          </w:p>
        </w:tc>
        <w:tc>
          <w:tcPr>
            <w:tcW w:w="5610" w:type="dxa"/>
          </w:tcPr>
          <w:p w14:paraId="4A101932" w14:textId="71E37F90" w:rsidR="00F65E9D" w:rsidRDefault="00F65E9D" w:rsidP="00F65E9D">
            <w:pPr>
              <w:rPr>
                <w:bCs/>
              </w:rPr>
            </w:pPr>
            <w:r>
              <w:rPr>
                <w:bCs/>
              </w:rPr>
              <w:t>Consultation on Investment Pooling</w:t>
            </w:r>
          </w:p>
        </w:tc>
      </w:tr>
      <w:tr w:rsidR="00F65E9D" w:rsidRPr="00ED48C9" w14:paraId="476E9174" w14:textId="77777777" w:rsidTr="00603EC9">
        <w:tc>
          <w:tcPr>
            <w:tcW w:w="2689" w:type="dxa"/>
          </w:tcPr>
          <w:p w14:paraId="0DB6CE02" w14:textId="77777777" w:rsidR="00F65E9D" w:rsidRDefault="00F65E9D" w:rsidP="00F65E9D">
            <w:pPr>
              <w:rPr>
                <w:b/>
              </w:rPr>
            </w:pPr>
          </w:p>
        </w:tc>
        <w:tc>
          <w:tcPr>
            <w:tcW w:w="5610" w:type="dxa"/>
          </w:tcPr>
          <w:p w14:paraId="3909C8F1" w14:textId="64DB5FAF" w:rsidR="00F65E9D" w:rsidRDefault="00F65E9D" w:rsidP="00F65E9D">
            <w:pPr>
              <w:rPr>
                <w:bCs/>
              </w:rPr>
            </w:pPr>
            <w:r>
              <w:rPr>
                <w:bCs/>
              </w:rPr>
              <w:t xml:space="preserve">Outcome of TCFD Consultation </w:t>
            </w:r>
          </w:p>
        </w:tc>
      </w:tr>
      <w:tr w:rsidR="00F65E9D" w:rsidRPr="00ED48C9" w14:paraId="41E86863" w14:textId="77777777" w:rsidTr="00603EC9">
        <w:tc>
          <w:tcPr>
            <w:tcW w:w="2689" w:type="dxa"/>
          </w:tcPr>
          <w:p w14:paraId="3BB7E207" w14:textId="77777777" w:rsidR="00F65E9D" w:rsidRDefault="00F65E9D" w:rsidP="00F65E9D">
            <w:pPr>
              <w:rPr>
                <w:b/>
              </w:rPr>
            </w:pPr>
          </w:p>
        </w:tc>
        <w:tc>
          <w:tcPr>
            <w:tcW w:w="5610" w:type="dxa"/>
          </w:tcPr>
          <w:p w14:paraId="1866FC44" w14:textId="676C6C69" w:rsidR="00F65E9D" w:rsidRPr="00ED48C9" w:rsidRDefault="00F65E9D" w:rsidP="00F65E9D">
            <w:pPr>
              <w:rPr>
                <w:bCs/>
              </w:rPr>
            </w:pPr>
            <w:r>
              <w:rPr>
                <w:bCs/>
              </w:rPr>
              <w:t>External Audit Report on 2022-23 Accounts</w:t>
            </w:r>
          </w:p>
        </w:tc>
      </w:tr>
    </w:tbl>
    <w:p w14:paraId="7911C4DA" w14:textId="77777777" w:rsidR="00925584" w:rsidRDefault="00925584" w:rsidP="00925584">
      <w:pPr>
        <w:ind w:left="426"/>
        <w:jc w:val="both"/>
      </w:pPr>
    </w:p>
    <w:p w14:paraId="2112A9BF" w14:textId="77777777" w:rsidR="00925584" w:rsidRDefault="00925584" w:rsidP="00925584">
      <w:pPr>
        <w:pStyle w:val="ListParagraph"/>
      </w:pPr>
    </w:p>
    <w:p w14:paraId="102CB9FF" w14:textId="26D7F415" w:rsidR="00FC3F6A" w:rsidRDefault="00751C86" w:rsidP="00FC3F6A">
      <w:pPr>
        <w:numPr>
          <w:ilvl w:val="0"/>
          <w:numId w:val="18"/>
        </w:numPr>
        <w:ind w:left="426" w:hanging="426"/>
        <w:jc w:val="both"/>
      </w:pPr>
      <w:r>
        <w:t xml:space="preserve">All </w:t>
      </w:r>
      <w:r w:rsidR="001C7629">
        <w:t>meeting</w:t>
      </w:r>
      <w:r>
        <w:t>s are</w:t>
      </w:r>
      <w:r w:rsidR="001C7629">
        <w:t xml:space="preserve"> currently scheduled to start at 6.30pm. </w:t>
      </w:r>
      <w:r w:rsidR="00FC3F6A">
        <w:t>I</w:t>
      </w:r>
      <w:r w:rsidR="001C7629">
        <w:t xml:space="preserve">t is intended that a training session will be held before </w:t>
      </w:r>
      <w:r>
        <w:t>each</w:t>
      </w:r>
      <w:r w:rsidR="001C7629">
        <w:t xml:space="preserve"> meeting, beginning at 5.30pm. </w:t>
      </w:r>
      <w:r w:rsidR="00414C40">
        <w:t>Detailed a</w:t>
      </w:r>
      <w:r w:rsidR="001A63E1">
        <w:t xml:space="preserve">rrangements for </w:t>
      </w:r>
      <w:r w:rsidR="006C1B8B">
        <w:t>th</w:t>
      </w:r>
      <w:r>
        <w:t>e training sessions and meetings</w:t>
      </w:r>
      <w:r w:rsidR="00201A56">
        <w:t xml:space="preserve"> will be </w:t>
      </w:r>
      <w:r w:rsidR="001A63E1">
        <w:t xml:space="preserve">confirmed </w:t>
      </w:r>
      <w:r w:rsidR="00201A56">
        <w:t>nearer the date.</w:t>
      </w:r>
      <w:r w:rsidR="00A23254">
        <w:t xml:space="preserve"> </w:t>
      </w:r>
    </w:p>
    <w:p w14:paraId="4C0AB86B" w14:textId="77777777" w:rsidR="00C24A81" w:rsidRDefault="00C24A81" w:rsidP="00C24A81">
      <w:pPr>
        <w:ind w:left="426"/>
        <w:jc w:val="both"/>
      </w:pPr>
    </w:p>
    <w:p w14:paraId="2EA766F0" w14:textId="5C07D060" w:rsidR="001C7629" w:rsidRDefault="001C7629" w:rsidP="00C24A81">
      <w:pPr>
        <w:numPr>
          <w:ilvl w:val="0"/>
          <w:numId w:val="18"/>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w:t>
      </w:r>
      <w:r w:rsidR="008A19F1">
        <w:t>The list will be augmented as necessary during the year.</w:t>
      </w:r>
    </w:p>
    <w:p w14:paraId="3A2AE62A" w14:textId="77777777" w:rsidR="00921889" w:rsidRDefault="00921889" w:rsidP="00921889">
      <w:pPr>
        <w:pStyle w:val="ListParagraph"/>
      </w:pPr>
    </w:p>
    <w:p w14:paraId="32D1EAD6" w14:textId="450C9316" w:rsidR="00921889" w:rsidRDefault="00921889" w:rsidP="00C24A81">
      <w:pPr>
        <w:numPr>
          <w:ilvl w:val="0"/>
          <w:numId w:val="18"/>
        </w:numPr>
        <w:ind w:left="426" w:hanging="426"/>
        <w:jc w:val="both"/>
      </w:pPr>
      <w:r>
        <w:t xml:space="preserve">In addition to the “regular” quarterly meetings, the Committee may wish to schedule other (informal) sessions for specific reasons – </w:t>
      </w:r>
      <w:r w:rsidR="00CC2663">
        <w:t>e.g.,</w:t>
      </w:r>
      <w:r>
        <w:t xml:space="preserve"> in 2022 the Committee had sessions covering Responsible Investment and to identify a replacement Emerging Markets Equity Manager</w:t>
      </w:r>
      <w:r w:rsidR="00DC7B96">
        <w:t>, and in Investment strategy session was held in May 2023.</w:t>
      </w:r>
      <w:r>
        <w:t xml:space="preserve"> The Committee may also wish to consider whether it wishes to have a “manager review day” this year.</w:t>
      </w:r>
    </w:p>
    <w:p w14:paraId="0DBBFA8C" w14:textId="77777777" w:rsidR="00921889" w:rsidRDefault="00921889" w:rsidP="00921889">
      <w:pPr>
        <w:pStyle w:val="ListParagraph"/>
      </w:pPr>
    </w:p>
    <w:p w14:paraId="7948F999" w14:textId="27C2F345" w:rsidR="00C24A81" w:rsidRPr="00755241" w:rsidRDefault="00C24A81" w:rsidP="00C24A81">
      <w:pPr>
        <w:ind w:left="284" w:hanging="284"/>
        <w:rPr>
          <w:rFonts w:cs="Arial"/>
          <w:sz w:val="28"/>
        </w:rPr>
      </w:pPr>
      <w:r>
        <w:rPr>
          <w:rFonts w:cs="Arial"/>
          <w:b/>
          <w:szCs w:val="24"/>
        </w:rPr>
        <w:t>C</w:t>
      </w:r>
      <w:r w:rsidR="00CC2663">
        <w:rPr>
          <w:rFonts w:cs="Arial"/>
          <w:b/>
          <w:szCs w:val="24"/>
        </w:rPr>
        <w:t>.</w:t>
      </w:r>
      <w:r w:rsidRPr="00755241">
        <w:rPr>
          <w:rFonts w:cs="Arial"/>
          <w:b/>
          <w:szCs w:val="24"/>
        </w:rPr>
        <w:t xml:space="preserve"> </w:t>
      </w:r>
      <w:r>
        <w:rPr>
          <w:rFonts w:cs="Arial"/>
          <w:b/>
          <w:szCs w:val="24"/>
        </w:rPr>
        <w:t>Summary Performance Dashboard for</w:t>
      </w:r>
      <w:r w:rsidRPr="00755241">
        <w:rPr>
          <w:rFonts w:cs="Arial"/>
          <w:b/>
          <w:szCs w:val="24"/>
        </w:rPr>
        <w:t xml:space="preserve"> Period Ended </w:t>
      </w:r>
      <w:r w:rsidR="001A319C">
        <w:rPr>
          <w:rFonts w:cs="Arial"/>
          <w:b/>
          <w:szCs w:val="24"/>
        </w:rPr>
        <w:t>3</w:t>
      </w:r>
      <w:r w:rsidR="004F6DD8">
        <w:rPr>
          <w:rFonts w:cs="Arial"/>
          <w:b/>
          <w:szCs w:val="24"/>
        </w:rPr>
        <w:t>0 June</w:t>
      </w:r>
      <w:r w:rsidR="00DC7B96">
        <w:rPr>
          <w:rFonts w:cs="Arial"/>
          <w:b/>
          <w:szCs w:val="24"/>
        </w:rPr>
        <w:t xml:space="preserve"> 2023</w:t>
      </w:r>
    </w:p>
    <w:p w14:paraId="1CF83654" w14:textId="77777777" w:rsidR="00C24A81" w:rsidRDefault="00C24A81" w:rsidP="00C24A81"/>
    <w:p w14:paraId="7E5FB058" w14:textId="00915FB7" w:rsidR="001C7629" w:rsidRDefault="001C7629" w:rsidP="00C24A81">
      <w:pPr>
        <w:numPr>
          <w:ilvl w:val="0"/>
          <w:numId w:val="18"/>
        </w:numPr>
        <w:ind w:left="426" w:hanging="426"/>
        <w:jc w:val="both"/>
      </w:pPr>
      <w:r w:rsidRPr="00B51E1E">
        <w:t xml:space="preserve">Attached as </w:t>
      </w:r>
      <w:r w:rsidRPr="00751C86">
        <w:rPr>
          <w:b/>
          <w:bCs/>
        </w:rPr>
        <w:t>Appendix 1</w:t>
      </w:r>
      <w:r w:rsidRPr="00B51E1E">
        <w:t xml:space="preserve">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228BF604" w:rsidR="001C7629" w:rsidRPr="00C24A81" w:rsidRDefault="001C7629" w:rsidP="001C7629">
      <w:pPr>
        <w:numPr>
          <w:ilvl w:val="0"/>
          <w:numId w:val="18"/>
        </w:numPr>
        <w:ind w:left="426" w:hanging="426"/>
        <w:jc w:val="both"/>
        <w:rPr>
          <w:szCs w:val="24"/>
        </w:rPr>
      </w:pPr>
      <w:r w:rsidRPr="00C24A81">
        <w:rPr>
          <w:szCs w:val="24"/>
        </w:rPr>
        <w:t xml:space="preserve">The investment dashboard shows the Pension Fund’s estimated Investment </w:t>
      </w:r>
      <w:r w:rsidRPr="00827F49">
        <w:rPr>
          <w:szCs w:val="24"/>
        </w:rPr>
        <w:t>Funding Level of</w:t>
      </w:r>
      <w:r w:rsidR="001A319C" w:rsidRPr="00827F49">
        <w:rPr>
          <w:szCs w:val="24"/>
        </w:rPr>
        <w:t xml:space="preserve"> </w:t>
      </w:r>
      <w:r w:rsidR="00131AED" w:rsidRPr="00827F49">
        <w:rPr>
          <w:szCs w:val="24"/>
        </w:rPr>
        <w:t>1</w:t>
      </w:r>
      <w:r w:rsidR="00751C86">
        <w:rPr>
          <w:szCs w:val="24"/>
        </w:rPr>
        <w:t>2</w:t>
      </w:r>
      <w:r w:rsidR="004F6DD8">
        <w:rPr>
          <w:szCs w:val="24"/>
        </w:rPr>
        <w:t>2.5</w:t>
      </w:r>
      <w:r w:rsidR="00131AED" w:rsidRPr="00827F49">
        <w:rPr>
          <w:szCs w:val="24"/>
        </w:rPr>
        <w:t>%</w:t>
      </w:r>
      <w:r w:rsidRPr="00827F49">
        <w:rPr>
          <w:szCs w:val="24"/>
        </w:rPr>
        <w:t xml:space="preserve"> as </w:t>
      </w:r>
      <w:proofErr w:type="gramStart"/>
      <w:r w:rsidRPr="00827F49">
        <w:rPr>
          <w:szCs w:val="24"/>
        </w:rPr>
        <w:t>at</w:t>
      </w:r>
      <w:proofErr w:type="gramEnd"/>
      <w:r w:rsidRPr="00827F49">
        <w:rPr>
          <w:szCs w:val="24"/>
        </w:rPr>
        <w:t xml:space="preserve"> 3</w:t>
      </w:r>
      <w:r w:rsidR="004F6DD8">
        <w:rPr>
          <w:szCs w:val="24"/>
        </w:rPr>
        <w:t>0</w:t>
      </w:r>
      <w:r w:rsidR="007A42EC" w:rsidRPr="00827F49">
        <w:rPr>
          <w:szCs w:val="24"/>
        </w:rPr>
        <w:t xml:space="preserve"> </w:t>
      </w:r>
      <w:r w:rsidR="004F6DD8">
        <w:rPr>
          <w:szCs w:val="24"/>
        </w:rPr>
        <w:t>June</w:t>
      </w:r>
      <w:r w:rsidR="00DC7B96">
        <w:rPr>
          <w:szCs w:val="24"/>
        </w:rPr>
        <w:t xml:space="preserve"> 2023</w:t>
      </w:r>
      <w:r w:rsidRPr="00827F49">
        <w:rPr>
          <w:szCs w:val="24"/>
        </w:rPr>
        <w:t xml:space="preserve"> and the fund assets (£</w:t>
      </w:r>
      <w:r w:rsidR="00827F49" w:rsidRPr="00827F49">
        <w:rPr>
          <w:szCs w:val="24"/>
        </w:rPr>
        <w:t>9</w:t>
      </w:r>
      <w:r w:rsidR="004F6DD8">
        <w:rPr>
          <w:szCs w:val="24"/>
        </w:rPr>
        <w:t>7</w:t>
      </w:r>
      <w:r w:rsidR="00DC7B96">
        <w:rPr>
          <w:szCs w:val="24"/>
        </w:rPr>
        <w:t>5</w:t>
      </w:r>
      <w:r w:rsidR="00827F49" w:rsidRPr="00827F49">
        <w:rPr>
          <w:szCs w:val="24"/>
        </w:rPr>
        <w:t>m</w:t>
      </w:r>
      <w:r w:rsidRPr="00827F49">
        <w:rPr>
          <w:szCs w:val="24"/>
        </w:rPr>
        <w:t>) and liabilities (£</w:t>
      </w:r>
      <w:r w:rsidR="004F6DD8">
        <w:rPr>
          <w:szCs w:val="24"/>
        </w:rPr>
        <w:t>796</w:t>
      </w:r>
      <w:r w:rsidR="00827F49" w:rsidRPr="00827F49">
        <w:rPr>
          <w:szCs w:val="24"/>
        </w:rPr>
        <w:t>m</w:t>
      </w:r>
      <w:r w:rsidRPr="00827F49">
        <w:rPr>
          <w:szCs w:val="24"/>
        </w:rPr>
        <w:t>).</w:t>
      </w:r>
      <w:r w:rsidRPr="00C24A81">
        <w:rPr>
          <w:szCs w:val="24"/>
        </w:rPr>
        <w:t xml:space="preserve"> This estimate of liabilities is a rolled forward projection based on the 20</w:t>
      </w:r>
      <w:r w:rsidR="00EC7962">
        <w:rPr>
          <w:szCs w:val="24"/>
        </w:rPr>
        <w:t>22</w:t>
      </w:r>
      <w:r w:rsidRPr="00C24A81">
        <w:rPr>
          <w:szCs w:val="24"/>
        </w:rPr>
        <w:t xml:space="preserve"> actuarial valuation, the </w:t>
      </w:r>
      <w:proofErr w:type="gramStart"/>
      <w:r w:rsidR="00DC7B96">
        <w:rPr>
          <w:szCs w:val="24"/>
        </w:rPr>
        <w:t>final</w:t>
      </w:r>
      <w:r w:rsidR="00EC7962">
        <w:rPr>
          <w:szCs w:val="24"/>
        </w:rPr>
        <w:t xml:space="preserve"> </w:t>
      </w:r>
      <w:r w:rsidRPr="00C24A81">
        <w:rPr>
          <w:szCs w:val="24"/>
        </w:rPr>
        <w:t>results</w:t>
      </w:r>
      <w:proofErr w:type="gramEnd"/>
      <w:r w:rsidRPr="00C24A81">
        <w:rPr>
          <w:szCs w:val="24"/>
        </w:rPr>
        <w:t xml:space="preserve"> of which were reported to the Committee </w:t>
      </w:r>
      <w:r w:rsidR="00EC7962">
        <w:rPr>
          <w:szCs w:val="24"/>
        </w:rPr>
        <w:t>at its meeting</w:t>
      </w:r>
      <w:r w:rsidR="00DC7B96">
        <w:rPr>
          <w:szCs w:val="24"/>
        </w:rPr>
        <w:t xml:space="preserve"> on 29 March 2023</w:t>
      </w:r>
      <w:r w:rsidRPr="00C24A81">
        <w:rPr>
          <w:szCs w:val="24"/>
        </w:rPr>
        <w:t xml:space="preserve">.  </w:t>
      </w:r>
    </w:p>
    <w:p w14:paraId="0151E0CB" w14:textId="77777777" w:rsidR="00C24A81" w:rsidRPr="00C24A81" w:rsidRDefault="00C24A81" w:rsidP="00C24A81">
      <w:pPr>
        <w:pStyle w:val="ListParagraph"/>
        <w:rPr>
          <w:szCs w:val="24"/>
        </w:rPr>
      </w:pPr>
    </w:p>
    <w:p w14:paraId="181BA506" w14:textId="43F1D212" w:rsidR="00561EC5" w:rsidRPr="00827F49" w:rsidRDefault="001C7629" w:rsidP="00C24A81">
      <w:pPr>
        <w:numPr>
          <w:ilvl w:val="0"/>
          <w:numId w:val="18"/>
        </w:numPr>
        <w:ind w:left="426" w:hanging="426"/>
        <w:jc w:val="both"/>
        <w:rPr>
          <w:szCs w:val="24"/>
        </w:rPr>
      </w:pPr>
      <w:r w:rsidRPr="00827F49">
        <w:rPr>
          <w:szCs w:val="24"/>
        </w:rPr>
        <w:lastRenderedPageBreak/>
        <w:t xml:space="preserve">The estimated funding level has improved since </w:t>
      </w:r>
      <w:r w:rsidR="00131AED" w:rsidRPr="00827F49">
        <w:rPr>
          <w:szCs w:val="24"/>
        </w:rPr>
        <w:t xml:space="preserve">the </w:t>
      </w:r>
      <w:r w:rsidR="00EC7962" w:rsidRPr="00827F49">
        <w:rPr>
          <w:szCs w:val="24"/>
        </w:rPr>
        <w:t>2022</w:t>
      </w:r>
      <w:r w:rsidRPr="00827F49">
        <w:rPr>
          <w:szCs w:val="24"/>
        </w:rPr>
        <w:t xml:space="preserve"> valuation</w:t>
      </w:r>
      <w:r w:rsidR="00131AED" w:rsidRPr="00827F49">
        <w:rPr>
          <w:szCs w:val="24"/>
        </w:rPr>
        <w:t>. This is driven by the fact that</w:t>
      </w:r>
      <w:r w:rsidR="00827F49">
        <w:rPr>
          <w:szCs w:val="24"/>
        </w:rPr>
        <w:t xml:space="preserve"> the expected</w:t>
      </w:r>
      <w:r w:rsidR="00131AED" w:rsidRPr="00827F49">
        <w:rPr>
          <w:szCs w:val="24"/>
        </w:rPr>
        <w:t xml:space="preserve"> return</w:t>
      </w:r>
      <w:r w:rsidR="00827F49">
        <w:rPr>
          <w:szCs w:val="24"/>
        </w:rPr>
        <w:t xml:space="preserve"> (discount rate) </w:t>
      </w:r>
      <w:r w:rsidR="00827F49">
        <w:t xml:space="preserve">has increased materially since the valuation largely driven by increasing interest rate expectations. This has reduced the liabilities substantially. The assets have held up well over </w:t>
      </w:r>
      <w:r w:rsidR="00B93DE8">
        <w:t xml:space="preserve">what has been a volatile period </w:t>
      </w:r>
      <w:r w:rsidR="00827F49">
        <w:t xml:space="preserve">in financial markets and </w:t>
      </w:r>
      <w:r w:rsidR="00B93DE8">
        <w:t xml:space="preserve">their values </w:t>
      </w:r>
      <w:r w:rsidR="00827F49">
        <w:t>have not dropped to the same extend as the liabilities</w:t>
      </w:r>
      <w:r w:rsidR="00131AED" w:rsidRPr="00827F49">
        <w:rPr>
          <w:szCs w:val="24"/>
        </w:rPr>
        <w:t xml:space="preserve"> </w:t>
      </w:r>
      <w:r w:rsidR="00827F49">
        <w:rPr>
          <w:szCs w:val="24"/>
        </w:rPr>
        <w:t xml:space="preserve">– hence the increased funding level. </w:t>
      </w:r>
      <w:r w:rsidR="00CD41F1" w:rsidRPr="00827F49">
        <w:rPr>
          <w:szCs w:val="24"/>
        </w:rPr>
        <w:t xml:space="preserve">This update is at a single point in time, </w:t>
      </w:r>
      <w:r w:rsidR="00827F49">
        <w:rPr>
          <w:szCs w:val="24"/>
        </w:rPr>
        <w:t>during a period of volatility in markets. F</w:t>
      </w:r>
      <w:r w:rsidR="00CD41F1" w:rsidRPr="00827F49">
        <w:rPr>
          <w:szCs w:val="24"/>
        </w:rPr>
        <w:t>urther market movements will lead to further fluctuations in funding level</w:t>
      </w:r>
      <w:r w:rsidR="00DC7B96">
        <w:rPr>
          <w:szCs w:val="24"/>
        </w:rPr>
        <w:t xml:space="preserve"> – the recent additional increases in interest rates are likely to have increased the funding level further. </w:t>
      </w:r>
    </w:p>
    <w:p w14:paraId="0731FDAE" w14:textId="77777777" w:rsidR="00C24A81" w:rsidRDefault="00C24A81" w:rsidP="00C24A81">
      <w:pPr>
        <w:pStyle w:val="ListParagraph"/>
        <w:rPr>
          <w:szCs w:val="24"/>
        </w:rPr>
      </w:pPr>
    </w:p>
    <w:p w14:paraId="71410AC6" w14:textId="72071F30" w:rsidR="001C7629" w:rsidRPr="00CD41F1" w:rsidRDefault="00CD41F1" w:rsidP="00C24A81">
      <w:pPr>
        <w:numPr>
          <w:ilvl w:val="0"/>
          <w:numId w:val="18"/>
        </w:numPr>
        <w:ind w:left="426" w:hanging="426"/>
        <w:jc w:val="both"/>
        <w:rPr>
          <w:szCs w:val="24"/>
        </w:rPr>
      </w:pPr>
      <w:r w:rsidRPr="00CD41F1">
        <w:rPr>
          <w:szCs w:val="24"/>
        </w:rPr>
        <w:t>It</w:t>
      </w:r>
      <w:r w:rsidR="00561EC5" w:rsidRPr="00CD41F1">
        <w:rPr>
          <w:szCs w:val="24"/>
        </w:rPr>
        <w:t xml:space="preserve"> should be noted </w:t>
      </w:r>
      <w:r w:rsidR="00827F49">
        <w:rPr>
          <w:szCs w:val="24"/>
        </w:rPr>
        <w:t xml:space="preserve">that </w:t>
      </w:r>
      <w:r w:rsidR="00561EC5" w:rsidRPr="00CD41F1">
        <w:rPr>
          <w:szCs w:val="24"/>
        </w:rPr>
        <w:t xml:space="preserve">the </w:t>
      </w:r>
      <w:r w:rsidR="00131AED" w:rsidRPr="00CD41F1">
        <w:rPr>
          <w:szCs w:val="24"/>
        </w:rPr>
        <w:t>1</w:t>
      </w:r>
      <w:r w:rsidR="004F6DD8">
        <w:rPr>
          <w:szCs w:val="24"/>
        </w:rPr>
        <w:t>22.5</w:t>
      </w:r>
      <w:r w:rsidR="00131AED" w:rsidRPr="00CD41F1">
        <w:rPr>
          <w:szCs w:val="24"/>
        </w:rPr>
        <w:t>%</w:t>
      </w:r>
      <w:r w:rsidR="00561EC5" w:rsidRPr="00CD41F1">
        <w:rPr>
          <w:szCs w:val="24"/>
        </w:rPr>
        <w:t xml:space="preserve"> funding level relates only to “past service” benefits (</w:t>
      </w:r>
      <w:proofErr w:type="gramStart"/>
      <w:r w:rsidR="00561EC5" w:rsidRPr="00CD41F1">
        <w:rPr>
          <w:szCs w:val="24"/>
        </w:rPr>
        <w:t>i.e.</w:t>
      </w:r>
      <w:proofErr w:type="gramEnd"/>
      <w:r w:rsidR="00561EC5" w:rsidRPr="00CD41F1">
        <w:rPr>
          <w:szCs w:val="24"/>
        </w:rPr>
        <w:t xml:space="preserve"> service accrued to date). </w:t>
      </w:r>
      <w:r w:rsidR="00131AED" w:rsidRPr="00CD41F1">
        <w:rPr>
          <w:szCs w:val="24"/>
        </w:rPr>
        <w:t>As a scheme which is “open” (</w:t>
      </w:r>
      <w:proofErr w:type="gramStart"/>
      <w:r w:rsidR="00131AED" w:rsidRPr="00CD41F1">
        <w:rPr>
          <w:szCs w:val="24"/>
        </w:rPr>
        <w:t>i.e.</w:t>
      </w:r>
      <w:proofErr w:type="gramEnd"/>
      <w:r w:rsidR="00131AED" w:rsidRPr="00CD41F1">
        <w:rPr>
          <w:szCs w:val="24"/>
        </w:rPr>
        <w:t xml:space="preserve"> both to future accrual of benefits for existing members and to new joiners), t</w:t>
      </w:r>
      <w:r w:rsidR="00561EC5" w:rsidRPr="00CD41F1">
        <w:rPr>
          <w:szCs w:val="24"/>
        </w:rPr>
        <w:t xml:space="preserve">he Fund will also have to meet </w:t>
      </w:r>
      <w:r w:rsidR="00131AED" w:rsidRPr="00CD41F1">
        <w:rPr>
          <w:szCs w:val="24"/>
        </w:rPr>
        <w:t xml:space="preserve">significant </w:t>
      </w:r>
      <w:r w:rsidR="00561EC5" w:rsidRPr="00CD41F1">
        <w:rPr>
          <w:szCs w:val="24"/>
        </w:rPr>
        <w:t xml:space="preserve">liabilities in respect of future service, which will </w:t>
      </w:r>
      <w:r w:rsidR="00D24092" w:rsidRPr="00CD41F1">
        <w:rPr>
          <w:szCs w:val="24"/>
        </w:rPr>
        <w:t xml:space="preserve">in turn </w:t>
      </w:r>
      <w:r w:rsidR="00561EC5" w:rsidRPr="00CD41F1">
        <w:rPr>
          <w:szCs w:val="24"/>
        </w:rPr>
        <w:t>depend on pay levels and other factors.</w:t>
      </w:r>
      <w:r w:rsidRPr="00CD41F1">
        <w:rPr>
          <w:szCs w:val="24"/>
        </w:rPr>
        <w:t xml:space="preserve"> </w:t>
      </w:r>
      <w:r w:rsidR="001C7629" w:rsidRPr="00CD41F1">
        <w:rPr>
          <w:szCs w:val="24"/>
        </w:rPr>
        <w:t>No de-risking actions are recommended at the current time.</w:t>
      </w:r>
    </w:p>
    <w:p w14:paraId="1B1D96D9" w14:textId="77777777" w:rsidR="00C24A81" w:rsidRDefault="00C24A81" w:rsidP="00C24A81">
      <w:pPr>
        <w:pStyle w:val="ListParagraph"/>
        <w:rPr>
          <w:szCs w:val="24"/>
        </w:rPr>
      </w:pPr>
    </w:p>
    <w:p w14:paraId="33FAD234" w14:textId="0E96D40C" w:rsidR="001C7629" w:rsidRPr="00095463" w:rsidRDefault="001C7629" w:rsidP="00C24A81">
      <w:pPr>
        <w:numPr>
          <w:ilvl w:val="0"/>
          <w:numId w:val="18"/>
        </w:numPr>
        <w:ind w:left="426" w:hanging="426"/>
        <w:jc w:val="both"/>
        <w:rPr>
          <w:szCs w:val="24"/>
        </w:rPr>
      </w:pPr>
      <w:r w:rsidRPr="00095463">
        <w:rPr>
          <w:szCs w:val="24"/>
        </w:rPr>
        <w:t>The Dashboard includes a summary of asset allocation relative to the strategic benchmark. It also shows the current allocation made to the London CIV or under fee arrangements negotiated by the CIV (</w:t>
      </w:r>
      <w:r w:rsidR="00B93DE8">
        <w:rPr>
          <w:szCs w:val="24"/>
        </w:rPr>
        <w:t>7</w:t>
      </w:r>
      <w:r w:rsidR="00DC7B96">
        <w:rPr>
          <w:szCs w:val="24"/>
        </w:rPr>
        <w:t>8</w:t>
      </w:r>
      <w:r w:rsidR="00095463" w:rsidRPr="00095463">
        <w:rPr>
          <w:szCs w:val="24"/>
        </w:rPr>
        <w:t>%</w:t>
      </w:r>
      <w:r w:rsidRPr="00095463">
        <w:rPr>
          <w:szCs w:val="24"/>
        </w:rPr>
        <w:t>) and a summary of manager performance and manager rating.</w:t>
      </w:r>
      <w:r w:rsidR="00164E26" w:rsidRPr="00095463">
        <w:rPr>
          <w:szCs w:val="24"/>
        </w:rPr>
        <w:t xml:space="preserve"> </w:t>
      </w:r>
      <w:r w:rsidR="00B93DE8">
        <w:rPr>
          <w:szCs w:val="24"/>
        </w:rPr>
        <w:t xml:space="preserve">The Strategic Benchmark allocation to assets pooled or counted as being pooled is </w:t>
      </w:r>
      <w:r w:rsidR="00B562B1" w:rsidRPr="00095463">
        <w:rPr>
          <w:szCs w:val="24"/>
        </w:rPr>
        <w:t>82</w:t>
      </w:r>
      <w:r w:rsidR="00164E26" w:rsidRPr="00095463">
        <w:rPr>
          <w:szCs w:val="24"/>
        </w:rPr>
        <w:t xml:space="preserve">.5%. </w:t>
      </w:r>
      <w:r w:rsidR="00B93DE8">
        <w:rPr>
          <w:szCs w:val="24"/>
        </w:rPr>
        <w:t xml:space="preserve">The commitments which are yet to be drawn down in respect of the LCIV Infrastructure and LCIV Renewables Infrastructure Funds account for most of the gap. </w:t>
      </w:r>
    </w:p>
    <w:p w14:paraId="40CC106E" w14:textId="77777777" w:rsidR="00C24A81" w:rsidRPr="00135B2B" w:rsidRDefault="00C24A81" w:rsidP="00C24A81">
      <w:pPr>
        <w:pStyle w:val="ListParagraph"/>
        <w:rPr>
          <w:szCs w:val="24"/>
        </w:rPr>
      </w:pPr>
    </w:p>
    <w:p w14:paraId="2B6E90D4" w14:textId="3C4282D1" w:rsidR="00DC2C04" w:rsidRPr="005608EF" w:rsidRDefault="001C7629" w:rsidP="00603EC9">
      <w:pPr>
        <w:numPr>
          <w:ilvl w:val="0"/>
          <w:numId w:val="18"/>
        </w:numPr>
        <w:ind w:left="426" w:hanging="426"/>
        <w:jc w:val="both"/>
        <w:rPr>
          <w:szCs w:val="24"/>
        </w:rPr>
      </w:pPr>
      <w:r w:rsidRPr="00135B2B">
        <w:t xml:space="preserve">The Fund subscribes to the performance data service provided by Pension and Investment Consultants Limited (PIRC) The PIRC performance report is attached as </w:t>
      </w:r>
      <w:r w:rsidRPr="005608EF">
        <w:rPr>
          <w:b/>
          <w:bCs/>
        </w:rPr>
        <w:t>Appendix 2</w:t>
      </w:r>
      <w:r w:rsidRPr="00135B2B">
        <w:t xml:space="preserve"> to this report. The dashboard summarises the quarter, 1-year, 3-year and 5-year performance. </w:t>
      </w:r>
      <w:r w:rsidR="00B562B1" w:rsidRPr="00135B2B">
        <w:t>The</w:t>
      </w:r>
      <w:r w:rsidRPr="00135B2B">
        <w:t xml:space="preserve"> </w:t>
      </w:r>
      <w:r w:rsidR="00135B2B" w:rsidRPr="00135B2B">
        <w:t xml:space="preserve">Fund </w:t>
      </w:r>
      <w:r w:rsidR="00DC7B96">
        <w:t>has underperformed against its</w:t>
      </w:r>
      <w:r w:rsidR="00135B2B" w:rsidRPr="00135B2B">
        <w:t xml:space="preserve"> benchmark in the </w:t>
      </w:r>
      <w:r w:rsidR="008E0CFC">
        <w:t>second</w:t>
      </w:r>
      <w:r w:rsidR="00DC7B96">
        <w:t xml:space="preserve"> quarter </w:t>
      </w:r>
      <w:r w:rsidR="00135B2B" w:rsidRPr="00135B2B">
        <w:t>of 202</w:t>
      </w:r>
      <w:r w:rsidR="00DC7B96">
        <w:t>3</w:t>
      </w:r>
      <w:r w:rsidR="00135B2B" w:rsidRPr="00135B2B">
        <w:t xml:space="preserve">, </w:t>
      </w:r>
      <w:r w:rsidR="00DC7B96">
        <w:t xml:space="preserve">and </w:t>
      </w:r>
      <w:r w:rsidR="00135B2B" w:rsidRPr="00135B2B">
        <w:t xml:space="preserve">for all longer </w:t>
      </w:r>
      <w:proofErr w:type="gramStart"/>
      <w:r w:rsidR="00135B2B" w:rsidRPr="00135B2B">
        <w:t>timeframes</w:t>
      </w:r>
      <w:proofErr w:type="gramEnd"/>
      <w:r w:rsidR="00135B2B" w:rsidRPr="00135B2B">
        <w:t xml:space="preserve"> </w:t>
      </w:r>
      <w:r w:rsidRPr="00135B2B">
        <w:t xml:space="preserve">performance was </w:t>
      </w:r>
      <w:r w:rsidR="00DC7B96">
        <w:t xml:space="preserve">also </w:t>
      </w:r>
      <w:r w:rsidRPr="00135B2B">
        <w:t>below the fund benchmark.</w:t>
      </w:r>
      <w:r w:rsidR="00B562B1" w:rsidRPr="00135B2B">
        <w:t xml:space="preserve"> </w:t>
      </w:r>
    </w:p>
    <w:p w14:paraId="69EA08FE" w14:textId="77777777" w:rsidR="00C24A81" w:rsidRPr="00827F49" w:rsidRDefault="00C24A81" w:rsidP="00C24A81">
      <w:pPr>
        <w:pStyle w:val="ListParagraph"/>
        <w:rPr>
          <w:szCs w:val="24"/>
          <w:highlight w:val="yellow"/>
        </w:rPr>
      </w:pPr>
    </w:p>
    <w:p w14:paraId="039082F4" w14:textId="2FB7423B" w:rsidR="001C7629" w:rsidRPr="00095463" w:rsidRDefault="001C7629" w:rsidP="00C24A81">
      <w:pPr>
        <w:numPr>
          <w:ilvl w:val="0"/>
          <w:numId w:val="18"/>
        </w:numPr>
        <w:ind w:left="426" w:hanging="426"/>
        <w:jc w:val="both"/>
        <w:rPr>
          <w:szCs w:val="24"/>
        </w:rPr>
      </w:pPr>
      <w:r w:rsidRPr="00B93DE8">
        <w:rPr>
          <w:b/>
          <w:bCs/>
          <w:szCs w:val="24"/>
        </w:rPr>
        <w:t>Appendix 3</w:t>
      </w:r>
      <w:r w:rsidRPr="00095463">
        <w:rPr>
          <w:szCs w:val="24"/>
        </w:rPr>
        <w:t xml:space="preserve"> Manager Monitoring Report - Executive Summary reports on managers who have received the Aon “qualified” or “in review” rating. This is summarised on the dashboard ‘Manager in Focus’ section. </w:t>
      </w:r>
      <w:r w:rsidRPr="00B93DE8">
        <w:rPr>
          <w:b/>
          <w:bCs/>
          <w:szCs w:val="24"/>
        </w:rPr>
        <w:t>Appendix 4</w:t>
      </w:r>
      <w:r w:rsidRPr="00095463">
        <w:rPr>
          <w:szCs w:val="24"/>
        </w:rPr>
        <w:t xml:space="preserve"> sets out the comments of one of the Fund’s Independent Advisors in respect of the various managers’ performance and other related information</w:t>
      </w:r>
      <w:r w:rsidR="001C7067" w:rsidRPr="00095463">
        <w:rPr>
          <w:szCs w:val="24"/>
        </w:rPr>
        <w:t>.</w:t>
      </w:r>
      <w:r w:rsidRPr="00095463">
        <w:rPr>
          <w:szCs w:val="24"/>
        </w:rPr>
        <w:t xml:space="preserve"> </w:t>
      </w:r>
      <w:r w:rsidRPr="00095463">
        <w:rPr>
          <w:b/>
          <w:bCs/>
          <w:szCs w:val="24"/>
        </w:rPr>
        <w:t>These appendices</w:t>
      </w:r>
      <w:r w:rsidR="001C7067" w:rsidRPr="00095463">
        <w:rPr>
          <w:b/>
          <w:bCs/>
          <w:szCs w:val="24"/>
        </w:rPr>
        <w:t xml:space="preserve"> (3 </w:t>
      </w:r>
      <w:r w:rsidR="008F690E" w:rsidRPr="00095463">
        <w:rPr>
          <w:b/>
          <w:bCs/>
          <w:szCs w:val="24"/>
        </w:rPr>
        <w:t>and</w:t>
      </w:r>
      <w:r w:rsidR="00AC01E2" w:rsidRPr="00095463">
        <w:rPr>
          <w:b/>
          <w:bCs/>
          <w:szCs w:val="24"/>
        </w:rPr>
        <w:t xml:space="preserve"> 4</w:t>
      </w:r>
      <w:r w:rsidR="008F690E" w:rsidRPr="00095463">
        <w:rPr>
          <w:b/>
          <w:bCs/>
          <w:szCs w:val="24"/>
        </w:rPr>
        <w:t>)</w:t>
      </w:r>
      <w:r w:rsidRPr="00095463">
        <w:rPr>
          <w:b/>
          <w:bCs/>
          <w:szCs w:val="24"/>
        </w:rPr>
        <w:t xml:space="preserve"> are exempt, so any discussion of the detail therein will need to be undertaken in Part II of the meeting.</w:t>
      </w:r>
      <w:r w:rsidRPr="00095463">
        <w:rPr>
          <w:szCs w:val="24"/>
        </w:rPr>
        <w:t xml:space="preserve"> </w:t>
      </w:r>
    </w:p>
    <w:p w14:paraId="0394EB32" w14:textId="77777777" w:rsidR="00C24A81" w:rsidRPr="00095463" w:rsidRDefault="00C24A81" w:rsidP="00C24A81">
      <w:pPr>
        <w:pStyle w:val="ListParagraph"/>
        <w:rPr>
          <w:szCs w:val="24"/>
        </w:rPr>
      </w:pPr>
    </w:p>
    <w:p w14:paraId="765EA055" w14:textId="1CB208C1" w:rsidR="00C24A81" w:rsidRPr="00095463" w:rsidRDefault="00C24A81" w:rsidP="00C24A81">
      <w:pPr>
        <w:jc w:val="both"/>
        <w:rPr>
          <w:szCs w:val="24"/>
        </w:rPr>
      </w:pPr>
      <w:r w:rsidRPr="00095463">
        <w:rPr>
          <w:b/>
          <w:szCs w:val="24"/>
        </w:rPr>
        <w:t>D</w:t>
      </w:r>
      <w:r w:rsidR="00B902AE">
        <w:rPr>
          <w:b/>
          <w:szCs w:val="24"/>
        </w:rPr>
        <w:t>.</w:t>
      </w:r>
      <w:r w:rsidRPr="00095463">
        <w:rPr>
          <w:b/>
          <w:szCs w:val="24"/>
        </w:rPr>
        <w:t xml:space="preserve"> Fund Performance and Valuation for Period Ended 3</w:t>
      </w:r>
      <w:r w:rsidR="008E0CFC">
        <w:rPr>
          <w:b/>
          <w:szCs w:val="24"/>
        </w:rPr>
        <w:t>0 June</w:t>
      </w:r>
      <w:r w:rsidR="005608EF">
        <w:rPr>
          <w:b/>
          <w:szCs w:val="24"/>
        </w:rPr>
        <w:t xml:space="preserve"> 2023</w:t>
      </w:r>
      <w:r w:rsidRPr="00095463">
        <w:rPr>
          <w:b/>
          <w:szCs w:val="24"/>
        </w:rPr>
        <w:t xml:space="preserve"> </w:t>
      </w:r>
      <w:r w:rsidR="003F0B3C" w:rsidRPr="00095463">
        <w:rPr>
          <w:b/>
          <w:szCs w:val="24"/>
        </w:rPr>
        <w:t xml:space="preserve">and subsequent </w:t>
      </w:r>
      <w:proofErr w:type="gramStart"/>
      <w:r w:rsidR="003F0B3C" w:rsidRPr="00095463">
        <w:rPr>
          <w:b/>
          <w:szCs w:val="24"/>
        </w:rPr>
        <w:t>activity</w:t>
      </w:r>
      <w:proofErr w:type="gramEnd"/>
    </w:p>
    <w:p w14:paraId="50819078" w14:textId="77777777" w:rsidR="00C24A81" w:rsidRPr="00827F49" w:rsidRDefault="00C24A81" w:rsidP="00C24A81">
      <w:pPr>
        <w:rPr>
          <w:szCs w:val="24"/>
          <w:highlight w:val="yellow"/>
        </w:rPr>
      </w:pPr>
    </w:p>
    <w:p w14:paraId="4E03BC66" w14:textId="778A2D61" w:rsidR="001C7629" w:rsidRPr="002078C0" w:rsidRDefault="001C7629" w:rsidP="00C24A81">
      <w:pPr>
        <w:numPr>
          <w:ilvl w:val="0"/>
          <w:numId w:val="18"/>
        </w:numPr>
        <w:ind w:left="426" w:hanging="426"/>
        <w:jc w:val="both"/>
        <w:rPr>
          <w:szCs w:val="24"/>
        </w:rPr>
      </w:pPr>
      <w:r w:rsidRPr="00B93DE8">
        <w:rPr>
          <w:b/>
          <w:bCs/>
        </w:rPr>
        <w:t>Appendix 5</w:t>
      </w:r>
      <w:r w:rsidR="001E752F">
        <w:rPr>
          <w:b/>
          <w:bCs/>
        </w:rPr>
        <w:t>a</w:t>
      </w:r>
      <w:r w:rsidRPr="00B93DE8">
        <w:rPr>
          <w:b/>
          <w:bCs/>
        </w:rPr>
        <w:t xml:space="preserve"> </w:t>
      </w:r>
      <w:r w:rsidRPr="007A37A4">
        <w:t>sets out the change in the market value of the Fund’s investments from 3</w:t>
      </w:r>
      <w:r w:rsidR="001F6359">
        <w:t>0</w:t>
      </w:r>
      <w:r w:rsidR="001F6359" w:rsidRPr="001F6359">
        <w:rPr>
          <w:vertAlign w:val="superscript"/>
        </w:rPr>
        <w:t>th</w:t>
      </w:r>
      <w:r w:rsidR="001F6359">
        <w:t xml:space="preserve"> June</w:t>
      </w:r>
      <w:r w:rsidRPr="007A37A4">
        <w:t xml:space="preserve"> 202</w:t>
      </w:r>
      <w:r w:rsidR="008F690E" w:rsidRPr="007A37A4">
        <w:t>2</w:t>
      </w:r>
      <w:r w:rsidRPr="007A37A4">
        <w:t xml:space="preserve"> to </w:t>
      </w:r>
      <w:r w:rsidR="007A37A4" w:rsidRPr="007A37A4">
        <w:t>3</w:t>
      </w:r>
      <w:r w:rsidR="001F6359">
        <w:t>0</w:t>
      </w:r>
      <w:r w:rsidR="001F6359" w:rsidRPr="001F6359">
        <w:rPr>
          <w:vertAlign w:val="superscript"/>
        </w:rPr>
        <w:t>th</w:t>
      </w:r>
      <w:r w:rsidR="001F6359">
        <w:t xml:space="preserve"> June</w:t>
      </w:r>
      <w:r w:rsidR="00B93DE8">
        <w:t xml:space="preserve"> 2023</w:t>
      </w:r>
      <w:r w:rsidRPr="007A37A4">
        <w:t xml:space="preserve">.  The table has been ordered to align the various investments with the three high-level “bucket” groupings approved under the </w:t>
      </w:r>
      <w:r w:rsidR="00D24092" w:rsidRPr="007A37A4">
        <w:t>I</w:t>
      </w:r>
      <w:r w:rsidRPr="007A37A4">
        <w:t xml:space="preserve">nvestment Strategy Review – Equities, Diversifying Return Assets and Risk Control Assets. The value of the Fund </w:t>
      </w:r>
      <w:proofErr w:type="gramStart"/>
      <w:r w:rsidRPr="007A37A4">
        <w:t>at</w:t>
      </w:r>
      <w:proofErr w:type="gramEnd"/>
      <w:r w:rsidRPr="007A37A4">
        <w:t xml:space="preserve"> 3</w:t>
      </w:r>
      <w:r w:rsidR="001F6359">
        <w:t>0</w:t>
      </w:r>
      <w:r w:rsidR="001F6359" w:rsidRPr="001F6359">
        <w:rPr>
          <w:vertAlign w:val="superscript"/>
        </w:rPr>
        <w:t>th</w:t>
      </w:r>
      <w:r w:rsidR="001F6359">
        <w:t xml:space="preserve"> June</w:t>
      </w:r>
      <w:r w:rsidR="00B93DE8">
        <w:t xml:space="preserve"> </w:t>
      </w:r>
      <w:r w:rsidR="008F690E" w:rsidRPr="007A37A4">
        <w:t>202</w:t>
      </w:r>
      <w:r w:rsidR="005608EF">
        <w:t>3</w:t>
      </w:r>
      <w:r w:rsidRPr="007A37A4">
        <w:t xml:space="preserve"> </w:t>
      </w:r>
      <w:r w:rsidR="00B93DE8">
        <w:t>rose to £</w:t>
      </w:r>
      <w:r w:rsidR="00B93DE8" w:rsidRPr="00B902AE">
        <w:t>9</w:t>
      </w:r>
      <w:r w:rsidR="001F6359">
        <w:t>78</w:t>
      </w:r>
      <w:r w:rsidR="00B93DE8" w:rsidRPr="00B902AE">
        <w:t>m</w:t>
      </w:r>
      <w:r w:rsidR="00B93DE8">
        <w:t xml:space="preserve"> in the quarter from £</w:t>
      </w:r>
      <w:r w:rsidR="005608EF">
        <w:t>9</w:t>
      </w:r>
      <w:r w:rsidR="001F6359">
        <w:t>69</w:t>
      </w:r>
      <w:r w:rsidR="00B93DE8">
        <w:t>m (at 3</w:t>
      </w:r>
      <w:r w:rsidR="005608EF">
        <w:t>1</w:t>
      </w:r>
      <w:r w:rsidR="00B902AE" w:rsidRPr="005608EF">
        <w:rPr>
          <w:vertAlign w:val="superscript"/>
        </w:rPr>
        <w:t>st</w:t>
      </w:r>
      <w:r w:rsidR="00B902AE">
        <w:t xml:space="preserve"> </w:t>
      </w:r>
      <w:r w:rsidR="001F6359">
        <w:t>March</w:t>
      </w:r>
      <w:r w:rsidR="00B93DE8">
        <w:t xml:space="preserve"> 202</w:t>
      </w:r>
      <w:r w:rsidR="001F6359">
        <w:t>3</w:t>
      </w:r>
      <w:r w:rsidR="00B93DE8">
        <w:t xml:space="preserve">). </w:t>
      </w:r>
    </w:p>
    <w:p w14:paraId="69532C9F" w14:textId="77777777" w:rsidR="002078C0" w:rsidRPr="002078C0" w:rsidRDefault="002078C0" w:rsidP="002078C0">
      <w:pPr>
        <w:ind w:left="426"/>
        <w:jc w:val="both"/>
        <w:rPr>
          <w:szCs w:val="24"/>
        </w:rPr>
      </w:pPr>
    </w:p>
    <w:p w14:paraId="29C8663E" w14:textId="618BFC8E" w:rsidR="00B0421D" w:rsidRDefault="005608EF" w:rsidP="0095712E">
      <w:pPr>
        <w:numPr>
          <w:ilvl w:val="0"/>
          <w:numId w:val="18"/>
        </w:numPr>
        <w:ind w:left="426" w:hanging="426"/>
        <w:jc w:val="both"/>
      </w:pPr>
      <w:r w:rsidRPr="00B0421D">
        <w:rPr>
          <w:szCs w:val="24"/>
        </w:rPr>
        <w:lastRenderedPageBreak/>
        <w:t>The</w:t>
      </w:r>
      <w:r w:rsidR="002078C0" w:rsidRPr="00B0421D">
        <w:rPr>
          <w:szCs w:val="24"/>
        </w:rPr>
        <w:t xml:space="preserve"> value of equities increased during the quarter</w:t>
      </w:r>
      <w:r w:rsidR="001F6359" w:rsidRPr="00B0421D">
        <w:rPr>
          <w:szCs w:val="24"/>
        </w:rPr>
        <w:t xml:space="preserve"> by some £6.3m and the </w:t>
      </w:r>
      <w:r w:rsidR="001F6359" w:rsidRPr="00B0421D">
        <w:rPr>
          <w:szCs w:val="24"/>
        </w:rPr>
        <w:t xml:space="preserve">value of </w:t>
      </w:r>
      <w:r w:rsidR="001F6359" w:rsidRPr="00B0421D">
        <w:rPr>
          <w:szCs w:val="24"/>
        </w:rPr>
        <w:t>bonds</w:t>
      </w:r>
      <w:r w:rsidR="001F6359" w:rsidRPr="00B0421D">
        <w:rPr>
          <w:szCs w:val="24"/>
        </w:rPr>
        <w:t xml:space="preserve"> </w:t>
      </w:r>
      <w:r w:rsidR="001F6359" w:rsidRPr="00B0421D">
        <w:rPr>
          <w:szCs w:val="24"/>
        </w:rPr>
        <w:t xml:space="preserve">reduced </w:t>
      </w:r>
      <w:r w:rsidR="001F6359" w:rsidRPr="00B0421D">
        <w:rPr>
          <w:szCs w:val="24"/>
        </w:rPr>
        <w:t>during the quarter by some £</w:t>
      </w:r>
      <w:r w:rsidR="001F6359" w:rsidRPr="00B0421D">
        <w:rPr>
          <w:szCs w:val="24"/>
        </w:rPr>
        <w:t>3.4</w:t>
      </w:r>
      <w:r w:rsidR="001F6359" w:rsidRPr="00B0421D">
        <w:rPr>
          <w:szCs w:val="24"/>
        </w:rPr>
        <w:t>m</w:t>
      </w:r>
      <w:r w:rsidR="002078C0" w:rsidRPr="00B0421D">
        <w:rPr>
          <w:szCs w:val="24"/>
        </w:rPr>
        <w:t xml:space="preserve">. </w:t>
      </w:r>
      <w:r w:rsidR="00B0421D" w:rsidRPr="00B0421D">
        <w:rPr>
          <w:szCs w:val="24"/>
        </w:rPr>
        <w:t xml:space="preserve">Global equities performed well again </w:t>
      </w:r>
      <w:r w:rsidR="00B0421D">
        <w:rPr>
          <w:szCs w:val="24"/>
        </w:rPr>
        <w:t>this quarter</w:t>
      </w:r>
      <w:r w:rsidR="00B0421D" w:rsidRPr="00B0421D">
        <w:rPr>
          <w:szCs w:val="24"/>
        </w:rPr>
        <w:t xml:space="preserve">. The MSCI Index gained 3.9% in Sterling </w:t>
      </w:r>
      <w:r w:rsidR="00B0421D" w:rsidRPr="00B0421D">
        <w:t xml:space="preserve">terms during the period, boosting the gain over 6 months to 8.9%, and the </w:t>
      </w:r>
      <w:proofErr w:type="gramStart"/>
      <w:r w:rsidR="00B0421D" w:rsidRPr="00B0421D">
        <w:t>one</w:t>
      </w:r>
      <w:r w:rsidR="00B0421D" w:rsidRPr="00B0421D">
        <w:t xml:space="preserve"> </w:t>
      </w:r>
      <w:r w:rsidR="00B0421D" w:rsidRPr="00B0421D">
        <w:t>year</w:t>
      </w:r>
      <w:proofErr w:type="gramEnd"/>
      <w:r w:rsidR="00B0421D" w:rsidRPr="00B0421D">
        <w:t xml:space="preserve"> return to 13.2%.</w:t>
      </w:r>
    </w:p>
    <w:p w14:paraId="004907A1" w14:textId="77777777" w:rsidR="00B0421D" w:rsidRDefault="00B0421D" w:rsidP="00B0421D">
      <w:pPr>
        <w:pStyle w:val="ListParagraph"/>
      </w:pPr>
    </w:p>
    <w:p w14:paraId="68D1C484" w14:textId="662EB4EA" w:rsidR="00B0421D" w:rsidRDefault="00B0421D" w:rsidP="002036B7">
      <w:pPr>
        <w:numPr>
          <w:ilvl w:val="0"/>
          <w:numId w:val="18"/>
        </w:numPr>
        <w:ind w:left="426" w:hanging="426"/>
        <w:jc w:val="both"/>
      </w:pPr>
      <w:r w:rsidRPr="00B0421D">
        <w:t>Artificial Intelligence (“AI”) was the dominant theme in the equity markets. Leadership here was concentrated in a small number of companies which are expected</w:t>
      </w:r>
      <w:r w:rsidRPr="00B0421D">
        <w:t xml:space="preserve"> </w:t>
      </w:r>
      <w:r w:rsidRPr="00B0421D">
        <w:t>to be big winners as the use of AI applications expands. This left most of the rest of the market grappling with slower growth, higher funding costs and the</w:t>
      </w:r>
      <w:r w:rsidRPr="00B0421D">
        <w:t xml:space="preserve"> </w:t>
      </w:r>
      <w:r w:rsidRPr="00B0421D">
        <w:t>implications of the rapid slowdown in China on demand for everything from luxury goods to industrial commodities.</w:t>
      </w:r>
      <w:r>
        <w:t xml:space="preserve"> </w:t>
      </w:r>
      <w:r w:rsidRPr="00B0421D">
        <w:t xml:space="preserve">Returns from equities have varied in a wide range across investing styles, </w:t>
      </w:r>
      <w:proofErr w:type="gramStart"/>
      <w:r w:rsidRPr="00B0421D">
        <w:t>sectors</w:t>
      </w:r>
      <w:proofErr w:type="gramEnd"/>
      <w:r w:rsidRPr="00B0421D">
        <w:t xml:space="preserve"> and geographies. </w:t>
      </w:r>
    </w:p>
    <w:p w14:paraId="1EC8D3FE" w14:textId="77777777" w:rsidR="00B0421D" w:rsidRDefault="00B0421D" w:rsidP="006A6A85">
      <w:pPr>
        <w:ind w:left="426"/>
        <w:jc w:val="both"/>
      </w:pPr>
    </w:p>
    <w:p w14:paraId="4EE71BC6" w14:textId="754F748C" w:rsidR="00B0421D" w:rsidRDefault="00B0421D" w:rsidP="00B0421D">
      <w:pPr>
        <w:numPr>
          <w:ilvl w:val="0"/>
          <w:numId w:val="18"/>
        </w:numPr>
        <w:ind w:left="426" w:hanging="426"/>
        <w:jc w:val="both"/>
      </w:pPr>
      <w:r w:rsidRPr="00B0421D">
        <w:t>Emerging</w:t>
      </w:r>
      <w:r w:rsidRPr="00B0421D">
        <w:t xml:space="preserve"> </w:t>
      </w:r>
      <w:r w:rsidRPr="00B0421D">
        <w:t>markets companies have not joined the party, in large part because the Chinese economy has stuttered. The MSCI Emerging Markets Index has lost 2.8% over one</w:t>
      </w:r>
      <w:r w:rsidRPr="00B0421D">
        <w:t xml:space="preserve"> </w:t>
      </w:r>
      <w:r w:rsidRPr="00B0421D">
        <w:t xml:space="preserve">year and is lagging the MSCI World Index by more than 15%. </w:t>
      </w:r>
    </w:p>
    <w:p w14:paraId="4DA4A91E" w14:textId="77777777" w:rsidR="00846323" w:rsidRDefault="00846323" w:rsidP="00755881">
      <w:pPr>
        <w:ind w:left="426"/>
        <w:jc w:val="both"/>
      </w:pPr>
    </w:p>
    <w:p w14:paraId="72FB06B4" w14:textId="34B655D3" w:rsidR="00716046" w:rsidRPr="006A6A85" w:rsidRDefault="006A6A85" w:rsidP="0072737B">
      <w:pPr>
        <w:numPr>
          <w:ilvl w:val="0"/>
          <w:numId w:val="18"/>
        </w:numPr>
        <w:ind w:left="426" w:hanging="426"/>
        <w:jc w:val="both"/>
      </w:pPr>
      <w:r w:rsidRPr="006A6A85">
        <w:t xml:space="preserve">Fears of un-anchored UK inflation have pushed up expectations for further rate hikes. However, there could become a point where higher </w:t>
      </w:r>
      <w:r w:rsidR="00716046" w:rsidRPr="006A6A85">
        <w:t>interest rates could reach a level where they shift from being supportive for the British pound (GBP) to a negative.</w:t>
      </w:r>
    </w:p>
    <w:p w14:paraId="74BD3CEE" w14:textId="37D98829" w:rsidR="00286484" w:rsidRPr="005821C4" w:rsidRDefault="002078C0" w:rsidP="00755881">
      <w:pPr>
        <w:jc w:val="both"/>
      </w:pPr>
      <w:r>
        <w:t xml:space="preserve">  </w:t>
      </w:r>
      <w:r w:rsidR="00882D18" w:rsidRPr="00DC2C04">
        <w:t xml:space="preserve">   </w:t>
      </w:r>
    </w:p>
    <w:p w14:paraId="51F51984" w14:textId="77777777" w:rsidR="00E54E13" w:rsidRPr="005821C4" w:rsidRDefault="00E54E13" w:rsidP="00E54E13">
      <w:pPr>
        <w:jc w:val="both"/>
        <w:rPr>
          <w:b/>
          <w:bCs/>
        </w:rPr>
      </w:pPr>
    </w:p>
    <w:p w14:paraId="42E0BBD0" w14:textId="508C705E" w:rsidR="00E54E13" w:rsidRPr="005821C4" w:rsidRDefault="00E54E13" w:rsidP="00E54E13">
      <w:pPr>
        <w:jc w:val="both"/>
      </w:pPr>
      <w:r w:rsidRPr="005821C4">
        <w:rPr>
          <w:b/>
        </w:rPr>
        <w:t>E</w:t>
      </w:r>
      <w:r w:rsidR="00B902AE">
        <w:rPr>
          <w:b/>
        </w:rPr>
        <w:t>.</w:t>
      </w:r>
      <w:r w:rsidRPr="005821C4">
        <w:rPr>
          <w:b/>
        </w:rPr>
        <w:t xml:space="preserve">   Meetings of Pension Board </w:t>
      </w:r>
    </w:p>
    <w:p w14:paraId="4F9945A7" w14:textId="77777777" w:rsidR="00E54E13" w:rsidRPr="005821C4" w:rsidRDefault="00E54E13" w:rsidP="00E54E13"/>
    <w:p w14:paraId="482C3C83" w14:textId="7CA79892" w:rsidR="00CE1D3C" w:rsidRPr="00CE1D3C" w:rsidRDefault="00E54E13" w:rsidP="00755881">
      <w:pPr>
        <w:numPr>
          <w:ilvl w:val="0"/>
          <w:numId w:val="18"/>
        </w:numPr>
        <w:ind w:left="426" w:hanging="426"/>
        <w:jc w:val="both"/>
        <w:rPr>
          <w:szCs w:val="24"/>
        </w:rPr>
      </w:pPr>
      <w:r w:rsidRPr="005821C4">
        <w:t xml:space="preserve"> </w:t>
      </w:r>
      <w:r w:rsidR="00CE1D3C">
        <w:t xml:space="preserve">At each meeting, the Board considers reports on </w:t>
      </w:r>
    </w:p>
    <w:p w14:paraId="5E958F8C" w14:textId="1B0F7A90" w:rsidR="00CE1D3C" w:rsidRDefault="00CE1D3C" w:rsidP="00755881">
      <w:pPr>
        <w:pStyle w:val="ListParagraph"/>
        <w:numPr>
          <w:ilvl w:val="0"/>
          <w:numId w:val="36"/>
        </w:numPr>
        <w:jc w:val="both"/>
        <w:rPr>
          <w:rFonts w:eastAsia="Times New Roman"/>
          <w:sz w:val="24"/>
          <w:szCs w:val="24"/>
        </w:rPr>
      </w:pPr>
      <w:r w:rsidRPr="00CE1D3C">
        <w:rPr>
          <w:sz w:val="24"/>
          <w:szCs w:val="24"/>
        </w:rPr>
        <w:t>Pensions Administration Performance</w:t>
      </w:r>
      <w:r>
        <w:rPr>
          <w:sz w:val="24"/>
          <w:szCs w:val="24"/>
        </w:rPr>
        <w:t xml:space="preserve">, which include legislation updates and the work of the Scheme Advisory Board, </w:t>
      </w:r>
      <w:r w:rsidRPr="00CE1D3C">
        <w:rPr>
          <w:rFonts w:eastAsia="Times New Roman"/>
          <w:sz w:val="24"/>
          <w:szCs w:val="24"/>
        </w:rPr>
        <w:t xml:space="preserve"> </w:t>
      </w:r>
    </w:p>
    <w:p w14:paraId="3BDDA434" w14:textId="425C1C6E" w:rsidR="00CE1D3C" w:rsidRDefault="00CE1D3C" w:rsidP="00755881">
      <w:pPr>
        <w:pStyle w:val="ListParagraph"/>
        <w:numPr>
          <w:ilvl w:val="0"/>
          <w:numId w:val="36"/>
        </w:numPr>
        <w:jc w:val="both"/>
        <w:rPr>
          <w:rFonts w:eastAsia="Times New Roman"/>
          <w:sz w:val="24"/>
          <w:szCs w:val="24"/>
        </w:rPr>
      </w:pPr>
      <w:r>
        <w:rPr>
          <w:rFonts w:eastAsia="Times New Roman"/>
          <w:sz w:val="24"/>
          <w:szCs w:val="24"/>
        </w:rPr>
        <w:t xml:space="preserve">Matters considered by this </w:t>
      </w:r>
      <w:r w:rsidR="002078C0">
        <w:rPr>
          <w:rFonts w:eastAsia="Times New Roman"/>
          <w:sz w:val="24"/>
          <w:szCs w:val="24"/>
        </w:rPr>
        <w:t>Committee,</w:t>
      </w:r>
    </w:p>
    <w:p w14:paraId="6A291DC3" w14:textId="2A3D3CF6" w:rsidR="00CE1D3C" w:rsidRPr="00CE1D3C" w:rsidRDefault="00CE1D3C" w:rsidP="00755881">
      <w:pPr>
        <w:pStyle w:val="ListParagraph"/>
        <w:numPr>
          <w:ilvl w:val="0"/>
          <w:numId w:val="36"/>
        </w:numPr>
        <w:jc w:val="both"/>
        <w:rPr>
          <w:rFonts w:eastAsia="Times New Roman"/>
          <w:sz w:val="24"/>
          <w:szCs w:val="24"/>
        </w:rPr>
      </w:pPr>
      <w:r>
        <w:rPr>
          <w:rFonts w:eastAsia="Times New Roman"/>
          <w:sz w:val="24"/>
          <w:szCs w:val="24"/>
        </w:rPr>
        <w:t>Its future work programme.</w:t>
      </w:r>
    </w:p>
    <w:p w14:paraId="3FC5E374" w14:textId="70AD40CE" w:rsidR="00CE1D3C" w:rsidRPr="00CE1D3C" w:rsidRDefault="00CE1D3C" w:rsidP="00755881">
      <w:pPr>
        <w:ind w:left="426"/>
        <w:jc w:val="both"/>
        <w:rPr>
          <w:rFonts w:cs="Arial"/>
          <w:color w:val="000000"/>
          <w:szCs w:val="24"/>
          <w:lang w:eastAsia="en-GB"/>
        </w:rPr>
      </w:pPr>
      <w:r>
        <w:rPr>
          <w:rFonts w:cs="Arial"/>
          <w:color w:val="000000"/>
          <w:szCs w:val="24"/>
          <w:lang w:eastAsia="en-GB"/>
        </w:rPr>
        <w:t xml:space="preserve"> </w:t>
      </w:r>
    </w:p>
    <w:p w14:paraId="6501C12A" w14:textId="16B63391" w:rsidR="00D56D80" w:rsidRPr="005821C4" w:rsidRDefault="00CE1D3C" w:rsidP="00755881">
      <w:pPr>
        <w:numPr>
          <w:ilvl w:val="0"/>
          <w:numId w:val="18"/>
        </w:numPr>
        <w:ind w:left="426" w:hanging="426"/>
        <w:jc w:val="both"/>
        <w:rPr>
          <w:szCs w:val="24"/>
        </w:rPr>
      </w:pPr>
      <w:r>
        <w:rPr>
          <w:rFonts w:cs="Arial"/>
          <w:color w:val="000000"/>
          <w:szCs w:val="24"/>
          <w:lang w:eastAsia="en-GB"/>
        </w:rPr>
        <w:t xml:space="preserve">In addition, at </w:t>
      </w:r>
      <w:r w:rsidR="00D56D80" w:rsidRPr="005821C4">
        <w:rPr>
          <w:rFonts w:cs="Arial"/>
          <w:color w:val="000000"/>
          <w:szCs w:val="24"/>
          <w:lang w:eastAsia="en-GB"/>
        </w:rPr>
        <w:t xml:space="preserve">its meeting on </w:t>
      </w:r>
      <w:r w:rsidR="00A45751">
        <w:rPr>
          <w:rFonts w:cs="Arial"/>
          <w:color w:val="000000"/>
          <w:szCs w:val="24"/>
          <w:lang w:eastAsia="en-GB"/>
        </w:rPr>
        <w:t>12 July 2023</w:t>
      </w:r>
      <w:r w:rsidR="00D56D80" w:rsidRPr="005821C4">
        <w:rPr>
          <w:rFonts w:cs="Arial"/>
          <w:color w:val="000000"/>
          <w:szCs w:val="24"/>
          <w:lang w:eastAsia="en-GB"/>
        </w:rPr>
        <w:t xml:space="preserve"> the Board </w:t>
      </w:r>
      <w:r w:rsidR="004E3FBD">
        <w:rPr>
          <w:rFonts w:cs="Arial"/>
          <w:color w:val="000000"/>
          <w:szCs w:val="24"/>
          <w:lang w:eastAsia="en-GB"/>
        </w:rPr>
        <w:t>considered reports on the following subjects</w:t>
      </w:r>
    </w:p>
    <w:p w14:paraId="721E8398" w14:textId="66E4FE84" w:rsidR="000E1DF6" w:rsidRDefault="000E1DF6" w:rsidP="00755881">
      <w:pPr>
        <w:pStyle w:val="ListParagraph"/>
        <w:numPr>
          <w:ilvl w:val="0"/>
          <w:numId w:val="28"/>
        </w:numPr>
        <w:jc w:val="both"/>
        <w:rPr>
          <w:sz w:val="24"/>
          <w:szCs w:val="24"/>
        </w:rPr>
      </w:pPr>
      <w:r w:rsidRPr="004E3FBD">
        <w:rPr>
          <w:sz w:val="24"/>
          <w:szCs w:val="24"/>
        </w:rPr>
        <w:t>Review</w:t>
      </w:r>
      <w:r w:rsidR="004E3FBD" w:rsidRPr="004E3FBD">
        <w:rPr>
          <w:sz w:val="24"/>
          <w:szCs w:val="24"/>
        </w:rPr>
        <w:t xml:space="preserve"> of</w:t>
      </w:r>
      <w:r w:rsidRPr="004E3FBD">
        <w:rPr>
          <w:sz w:val="24"/>
          <w:szCs w:val="24"/>
        </w:rPr>
        <w:t xml:space="preserve"> the Pension Fund Risk Register </w:t>
      </w:r>
    </w:p>
    <w:p w14:paraId="7A04FAAC" w14:textId="2436A1DC" w:rsidR="00A45751" w:rsidRPr="004E3FBD" w:rsidRDefault="00A45751" w:rsidP="00755881">
      <w:pPr>
        <w:pStyle w:val="ListParagraph"/>
        <w:numPr>
          <w:ilvl w:val="0"/>
          <w:numId w:val="28"/>
        </w:numPr>
        <w:jc w:val="both"/>
        <w:rPr>
          <w:sz w:val="24"/>
          <w:szCs w:val="24"/>
        </w:rPr>
      </w:pPr>
      <w:r>
        <w:rPr>
          <w:sz w:val="24"/>
          <w:szCs w:val="24"/>
        </w:rPr>
        <w:t xml:space="preserve">Pension Fund Governance Compliance Statement </w:t>
      </w:r>
    </w:p>
    <w:p w14:paraId="76088E1D" w14:textId="5E5B7D9D" w:rsidR="00E54E13" w:rsidRPr="00A45751" w:rsidRDefault="00A45751" w:rsidP="00755881">
      <w:pPr>
        <w:ind w:left="426"/>
        <w:jc w:val="both"/>
        <w:rPr>
          <w:szCs w:val="24"/>
        </w:rPr>
      </w:pPr>
      <w:r w:rsidRPr="00A45751">
        <w:rPr>
          <w:szCs w:val="24"/>
        </w:rPr>
        <w:t>These items appear elsewhere on the agenda for this meeting – the Board’s comments on these items will be circulated as late material.</w:t>
      </w:r>
    </w:p>
    <w:p w14:paraId="76EEDE2D" w14:textId="69063345" w:rsidR="00A45751" w:rsidRPr="00A45751" w:rsidRDefault="00A45751" w:rsidP="00755881">
      <w:pPr>
        <w:ind w:left="426"/>
        <w:jc w:val="both"/>
        <w:rPr>
          <w:szCs w:val="24"/>
        </w:rPr>
      </w:pPr>
      <w:r w:rsidRPr="00A45751">
        <w:rPr>
          <w:szCs w:val="24"/>
        </w:rPr>
        <w:t>The Board also</w:t>
      </w:r>
      <w:r>
        <w:rPr>
          <w:color w:val="FF0000"/>
          <w:szCs w:val="24"/>
        </w:rPr>
        <w:t xml:space="preserve"> </w:t>
      </w:r>
      <w:r>
        <w:rPr>
          <w:szCs w:val="24"/>
        </w:rPr>
        <w:t>approved the annual report on its work for the 2022-23 municipal year to be submitted to the Council in September 2023.</w:t>
      </w:r>
    </w:p>
    <w:p w14:paraId="3D058632" w14:textId="77777777" w:rsidR="00A45751" w:rsidRPr="0045365E" w:rsidRDefault="00A45751" w:rsidP="00755881">
      <w:pPr>
        <w:ind w:left="426"/>
        <w:jc w:val="both"/>
        <w:rPr>
          <w:szCs w:val="24"/>
          <w:highlight w:val="yellow"/>
        </w:rPr>
      </w:pPr>
    </w:p>
    <w:p w14:paraId="05B89DD5" w14:textId="77777777" w:rsidR="00A45751" w:rsidRDefault="00882D18" w:rsidP="00755881">
      <w:pPr>
        <w:numPr>
          <w:ilvl w:val="0"/>
          <w:numId w:val="18"/>
        </w:numPr>
        <w:ind w:left="426" w:hanging="426"/>
        <w:jc w:val="both"/>
        <w:rPr>
          <w:szCs w:val="24"/>
        </w:rPr>
      </w:pPr>
      <w:r w:rsidRPr="002078C0">
        <w:rPr>
          <w:szCs w:val="24"/>
        </w:rPr>
        <w:t xml:space="preserve">The dates of the Board’s meetings </w:t>
      </w:r>
      <w:r w:rsidR="00A45751">
        <w:rPr>
          <w:szCs w:val="24"/>
        </w:rPr>
        <w:t>for the remainder of 2023-24 are as follows</w:t>
      </w:r>
    </w:p>
    <w:p w14:paraId="47CBFDF9" w14:textId="39593E9B" w:rsidR="00882D18" w:rsidRPr="00A45751" w:rsidRDefault="00A45751" w:rsidP="00A45751">
      <w:pPr>
        <w:pStyle w:val="ListParagraph"/>
        <w:numPr>
          <w:ilvl w:val="0"/>
          <w:numId w:val="37"/>
        </w:numPr>
        <w:jc w:val="both"/>
        <w:rPr>
          <w:sz w:val="24"/>
          <w:szCs w:val="24"/>
        </w:rPr>
      </w:pPr>
      <w:r w:rsidRPr="00A45751">
        <w:rPr>
          <w:sz w:val="24"/>
          <w:szCs w:val="24"/>
        </w:rPr>
        <w:t>30 October 2023</w:t>
      </w:r>
    </w:p>
    <w:p w14:paraId="2FC39FB2" w14:textId="2CED774D" w:rsidR="00A45751" w:rsidRPr="00A45751" w:rsidRDefault="00A45751" w:rsidP="00A45751">
      <w:pPr>
        <w:pStyle w:val="ListParagraph"/>
        <w:numPr>
          <w:ilvl w:val="0"/>
          <w:numId w:val="37"/>
        </w:numPr>
        <w:jc w:val="both"/>
        <w:rPr>
          <w:sz w:val="24"/>
          <w:szCs w:val="24"/>
        </w:rPr>
      </w:pPr>
      <w:r w:rsidRPr="00A45751">
        <w:rPr>
          <w:sz w:val="24"/>
          <w:szCs w:val="24"/>
        </w:rPr>
        <w:t>11 December 2023</w:t>
      </w:r>
    </w:p>
    <w:p w14:paraId="6DD9DF3C" w14:textId="0138B72A" w:rsidR="00A45751" w:rsidRPr="00A45751" w:rsidRDefault="00A45751" w:rsidP="00A45751">
      <w:pPr>
        <w:pStyle w:val="ListParagraph"/>
        <w:numPr>
          <w:ilvl w:val="0"/>
          <w:numId w:val="37"/>
        </w:numPr>
        <w:jc w:val="both"/>
        <w:rPr>
          <w:sz w:val="24"/>
          <w:szCs w:val="24"/>
        </w:rPr>
      </w:pPr>
      <w:r w:rsidRPr="00A45751">
        <w:rPr>
          <w:sz w:val="24"/>
          <w:szCs w:val="24"/>
        </w:rPr>
        <w:t>19 March 2024.</w:t>
      </w:r>
    </w:p>
    <w:p w14:paraId="1BD1DD24" w14:textId="04B7B28A" w:rsidR="0029126E" w:rsidRPr="00A45751" w:rsidRDefault="0029126E" w:rsidP="0029126E">
      <w:pPr>
        <w:tabs>
          <w:tab w:val="left" w:pos="1848"/>
        </w:tabs>
        <w:jc w:val="both"/>
        <w:rPr>
          <w:rFonts w:cs="Arial"/>
          <w:color w:val="000000"/>
          <w:szCs w:val="24"/>
          <w:lang w:eastAsia="en-GB"/>
        </w:rPr>
      </w:pPr>
    </w:p>
    <w:p w14:paraId="16491640" w14:textId="089ED635" w:rsidR="0029126E" w:rsidRPr="0029126E" w:rsidRDefault="0029126E" w:rsidP="0029126E">
      <w:pPr>
        <w:tabs>
          <w:tab w:val="left" w:pos="1848"/>
        </w:tabs>
        <w:jc w:val="both"/>
        <w:rPr>
          <w:rFonts w:cs="Arial"/>
          <w:b/>
          <w:bCs/>
          <w:color w:val="000000"/>
          <w:szCs w:val="24"/>
          <w:lang w:eastAsia="en-GB"/>
        </w:rPr>
      </w:pPr>
      <w:r w:rsidRPr="0029126E">
        <w:rPr>
          <w:rFonts w:cs="Arial"/>
          <w:b/>
          <w:bCs/>
          <w:color w:val="000000"/>
          <w:szCs w:val="24"/>
          <w:lang w:eastAsia="en-GB"/>
        </w:rPr>
        <w:t>F</w:t>
      </w:r>
      <w:r w:rsidR="00B902AE">
        <w:rPr>
          <w:rFonts w:cs="Arial"/>
          <w:b/>
          <w:bCs/>
          <w:color w:val="000000"/>
          <w:szCs w:val="24"/>
          <w:lang w:eastAsia="en-GB"/>
        </w:rPr>
        <w:t>.</w:t>
      </w:r>
      <w:r w:rsidRPr="0029126E">
        <w:rPr>
          <w:rFonts w:cs="Arial"/>
          <w:b/>
          <w:bCs/>
          <w:color w:val="000000"/>
          <w:szCs w:val="24"/>
          <w:lang w:eastAsia="en-GB"/>
        </w:rPr>
        <w:t xml:space="preserve"> Annual Report and Accounts 2021-22 – Update on Progress of Audit</w:t>
      </w:r>
    </w:p>
    <w:p w14:paraId="233392D6" w14:textId="77777777" w:rsidR="0029126E" w:rsidRPr="0029126E" w:rsidRDefault="0029126E" w:rsidP="0029126E">
      <w:pPr>
        <w:tabs>
          <w:tab w:val="left" w:pos="1848"/>
        </w:tabs>
        <w:jc w:val="both"/>
        <w:rPr>
          <w:szCs w:val="24"/>
        </w:rPr>
      </w:pPr>
    </w:p>
    <w:p w14:paraId="3C9EF75E" w14:textId="653B716F" w:rsidR="0024584C" w:rsidRDefault="0029126E" w:rsidP="00882D18">
      <w:pPr>
        <w:numPr>
          <w:ilvl w:val="0"/>
          <w:numId w:val="18"/>
        </w:numPr>
        <w:ind w:left="426" w:hanging="426"/>
        <w:jc w:val="both"/>
        <w:rPr>
          <w:szCs w:val="24"/>
        </w:rPr>
      </w:pPr>
      <w:r w:rsidRPr="00882D18">
        <w:rPr>
          <w:rFonts w:cs="Arial"/>
          <w:color w:val="000000"/>
          <w:szCs w:val="24"/>
          <w:lang w:eastAsia="en-GB"/>
        </w:rPr>
        <w:lastRenderedPageBreak/>
        <w:t xml:space="preserve">At its </w:t>
      </w:r>
      <w:r w:rsidR="00882D18" w:rsidRPr="00882D18">
        <w:rPr>
          <w:rFonts w:cs="Arial"/>
          <w:color w:val="000000"/>
          <w:szCs w:val="24"/>
          <w:lang w:eastAsia="en-GB"/>
        </w:rPr>
        <w:t>October</w:t>
      </w:r>
      <w:r w:rsidRPr="00882D18">
        <w:rPr>
          <w:rFonts w:cs="Arial"/>
          <w:color w:val="000000"/>
          <w:szCs w:val="24"/>
          <w:lang w:eastAsia="en-GB"/>
        </w:rPr>
        <w:t xml:space="preserve"> </w:t>
      </w:r>
      <w:r w:rsidR="00A45751">
        <w:rPr>
          <w:rFonts w:cs="Arial"/>
          <w:color w:val="000000"/>
          <w:szCs w:val="24"/>
          <w:lang w:eastAsia="en-GB"/>
        </w:rPr>
        <w:t xml:space="preserve">2022 </w:t>
      </w:r>
      <w:r w:rsidRPr="00882D18">
        <w:rPr>
          <w:rFonts w:cs="Arial"/>
          <w:color w:val="000000"/>
          <w:szCs w:val="24"/>
          <w:lang w:eastAsia="en-GB"/>
        </w:rPr>
        <w:t xml:space="preserve">meeting the Committee reviewed the Fund’s draft Annual Report and </w:t>
      </w:r>
      <w:r w:rsidR="00B87E80">
        <w:rPr>
          <w:rFonts w:cs="Arial"/>
          <w:color w:val="000000"/>
          <w:szCs w:val="24"/>
          <w:lang w:eastAsia="en-GB"/>
        </w:rPr>
        <w:t>A</w:t>
      </w:r>
      <w:r w:rsidRPr="00882D18">
        <w:rPr>
          <w:rFonts w:cs="Arial"/>
          <w:color w:val="000000"/>
          <w:szCs w:val="24"/>
          <w:lang w:eastAsia="en-GB"/>
        </w:rPr>
        <w:t xml:space="preserve">ccounts for 2021-22. </w:t>
      </w:r>
      <w:r w:rsidR="00882D18" w:rsidRPr="00882D18">
        <w:rPr>
          <w:szCs w:val="24"/>
        </w:rPr>
        <w:t>The audit of the</w:t>
      </w:r>
      <w:r w:rsidR="00B87E80">
        <w:rPr>
          <w:szCs w:val="24"/>
        </w:rPr>
        <w:t>se</w:t>
      </w:r>
      <w:r w:rsidR="00882D18" w:rsidRPr="00882D18">
        <w:rPr>
          <w:szCs w:val="24"/>
        </w:rPr>
        <w:t xml:space="preserve"> is being carried out by Mazars. This audit is largely complete – there have been no material changes to the draft accounts presented to the Committee in October 2022, and only a small number of presentational and disclosure changes to some of the Notes to the accounts. However, </w:t>
      </w:r>
      <w:r w:rsidR="00A45751">
        <w:rPr>
          <w:szCs w:val="24"/>
        </w:rPr>
        <w:t xml:space="preserve">as previously reported, </w:t>
      </w:r>
      <w:r w:rsidR="00882D18" w:rsidRPr="00882D18">
        <w:rPr>
          <w:szCs w:val="24"/>
        </w:rPr>
        <w:t>the audit cannot be completed until the audit of the Council’s own accounts is finalised – the reason for this is that the auditor is required to confirm that the Pension Fund Annual Report and Accounts align with the Council’s main accounts, and there are some technical issues</w:t>
      </w:r>
      <w:r w:rsidR="0024584C">
        <w:rPr>
          <w:szCs w:val="24"/>
        </w:rPr>
        <w:t xml:space="preserve"> involving valuation of certain types of assets </w:t>
      </w:r>
      <w:r w:rsidR="00882D18" w:rsidRPr="00882D18">
        <w:rPr>
          <w:szCs w:val="24"/>
        </w:rPr>
        <w:t xml:space="preserve">being worked through in respect of the </w:t>
      </w:r>
      <w:r w:rsidR="0024584C">
        <w:rPr>
          <w:szCs w:val="24"/>
        </w:rPr>
        <w:t>Council’s accounts.</w:t>
      </w:r>
    </w:p>
    <w:p w14:paraId="347BA45D" w14:textId="77777777" w:rsidR="0024584C" w:rsidRDefault="0024584C" w:rsidP="0024584C">
      <w:pPr>
        <w:ind w:left="426"/>
        <w:jc w:val="both"/>
        <w:rPr>
          <w:szCs w:val="24"/>
        </w:rPr>
      </w:pPr>
    </w:p>
    <w:p w14:paraId="486EEBDC" w14:textId="1E9810C0" w:rsidR="00882D18" w:rsidRDefault="0024584C" w:rsidP="00882D18">
      <w:pPr>
        <w:numPr>
          <w:ilvl w:val="0"/>
          <w:numId w:val="18"/>
        </w:numPr>
        <w:ind w:left="426" w:hanging="426"/>
        <w:jc w:val="both"/>
        <w:rPr>
          <w:szCs w:val="24"/>
        </w:rPr>
      </w:pPr>
      <w:r>
        <w:rPr>
          <w:szCs w:val="24"/>
        </w:rPr>
        <w:t xml:space="preserve">A further consequence of the delay, is that for the 2021-22 draft accounts, as would normally be expected, the calculations of pension liabilities (IAS26 for the Pension Fund, IAS19 for the position of LBH as an employer in the Council’s main accounts) were made using a “roll forward” from the 2019 triennial valuation data.  The delay in the audit process means that the 2022 Triennial </w:t>
      </w:r>
      <w:r w:rsidR="006D754A">
        <w:rPr>
          <w:szCs w:val="24"/>
        </w:rPr>
        <w:t>V</w:t>
      </w:r>
      <w:r>
        <w:rPr>
          <w:szCs w:val="24"/>
        </w:rPr>
        <w:t xml:space="preserve">aluation results </w:t>
      </w:r>
      <w:r w:rsidR="006D754A">
        <w:rPr>
          <w:szCs w:val="24"/>
        </w:rPr>
        <w:t xml:space="preserve">have been published before the 2021-22 accounts </w:t>
      </w:r>
      <w:r>
        <w:rPr>
          <w:szCs w:val="24"/>
        </w:rPr>
        <w:t>are</w:t>
      </w:r>
      <w:r w:rsidR="006D754A">
        <w:rPr>
          <w:szCs w:val="24"/>
        </w:rPr>
        <w:t xml:space="preserve"> signed off, hence the IAS26 and IAS19 calculations </w:t>
      </w:r>
      <w:proofErr w:type="gramStart"/>
      <w:r w:rsidR="006D754A">
        <w:rPr>
          <w:szCs w:val="24"/>
        </w:rPr>
        <w:t>at</w:t>
      </w:r>
      <w:proofErr w:type="gramEnd"/>
      <w:r w:rsidR="006D754A">
        <w:rPr>
          <w:szCs w:val="24"/>
        </w:rPr>
        <w:t xml:space="preserve"> 31 March 2022 have been updated to use the 2022 triennial valuation data. The size of the total liability is such that any variation, even a small one, will breach the accounting materiality threshold, hence the auditors are obtain</w:t>
      </w:r>
      <w:r w:rsidR="00755881">
        <w:rPr>
          <w:szCs w:val="24"/>
        </w:rPr>
        <w:t>ing</w:t>
      </w:r>
      <w:r w:rsidR="006D754A">
        <w:rPr>
          <w:szCs w:val="24"/>
        </w:rPr>
        <w:t xml:space="preserve"> assurance regarding the data submitted by LBH to be used in those calculations. This is creating a further delay in the process. However, the Committee should be aware that this is a national issue, and a significant number of o</w:t>
      </w:r>
      <w:r w:rsidR="00882D18" w:rsidRPr="00882D18">
        <w:rPr>
          <w:szCs w:val="24"/>
        </w:rPr>
        <w:t xml:space="preserve">ther LGPS funds and administering authorities are experiencing similar </w:t>
      </w:r>
      <w:r w:rsidR="00882D18" w:rsidRPr="00B902AE">
        <w:rPr>
          <w:szCs w:val="24"/>
        </w:rPr>
        <w:t xml:space="preserve">issues. </w:t>
      </w:r>
      <w:r w:rsidR="00B902AE" w:rsidRPr="00B902AE">
        <w:rPr>
          <w:szCs w:val="24"/>
        </w:rPr>
        <w:t>T</w:t>
      </w:r>
      <w:r w:rsidR="00882D18" w:rsidRPr="00B902AE">
        <w:rPr>
          <w:szCs w:val="24"/>
        </w:rPr>
        <w:t xml:space="preserve">he </w:t>
      </w:r>
      <w:r w:rsidR="00B902AE">
        <w:rPr>
          <w:szCs w:val="24"/>
        </w:rPr>
        <w:t>A</w:t>
      </w:r>
      <w:r w:rsidR="00882D18" w:rsidRPr="00B902AE">
        <w:rPr>
          <w:szCs w:val="24"/>
        </w:rPr>
        <w:t>uditors report</w:t>
      </w:r>
      <w:r w:rsidR="00B902AE" w:rsidRPr="00B902AE">
        <w:rPr>
          <w:szCs w:val="24"/>
        </w:rPr>
        <w:t>ed</w:t>
      </w:r>
      <w:r w:rsidRPr="00B902AE">
        <w:rPr>
          <w:szCs w:val="24"/>
        </w:rPr>
        <w:t xml:space="preserve"> </w:t>
      </w:r>
      <w:r w:rsidR="00882D18" w:rsidRPr="00B902AE">
        <w:rPr>
          <w:szCs w:val="24"/>
        </w:rPr>
        <w:t xml:space="preserve">to the Governance, Audit, Risk Management and Standards Committee </w:t>
      </w:r>
      <w:r w:rsidR="00B902AE" w:rsidRPr="00B902AE">
        <w:rPr>
          <w:szCs w:val="24"/>
        </w:rPr>
        <w:t>at the</w:t>
      </w:r>
      <w:r w:rsidR="00B902AE">
        <w:rPr>
          <w:szCs w:val="24"/>
        </w:rPr>
        <w:t>ir</w:t>
      </w:r>
      <w:r w:rsidR="00B902AE" w:rsidRPr="00B902AE">
        <w:rPr>
          <w:szCs w:val="24"/>
        </w:rPr>
        <w:t xml:space="preserve"> </w:t>
      </w:r>
      <w:r w:rsidR="00A45751" w:rsidRPr="00B902AE">
        <w:rPr>
          <w:szCs w:val="24"/>
        </w:rPr>
        <w:t xml:space="preserve">July </w:t>
      </w:r>
      <w:r w:rsidR="00882D18" w:rsidRPr="00B902AE">
        <w:rPr>
          <w:szCs w:val="24"/>
        </w:rPr>
        <w:t>2023</w:t>
      </w:r>
      <w:r w:rsidR="00B902AE">
        <w:rPr>
          <w:szCs w:val="24"/>
        </w:rPr>
        <w:t xml:space="preserve"> meeting confirming expectations of committee members that the</w:t>
      </w:r>
      <w:r w:rsidR="00755881">
        <w:rPr>
          <w:szCs w:val="24"/>
        </w:rPr>
        <w:t xml:space="preserve">y need more time to complete the </w:t>
      </w:r>
      <w:r w:rsidR="00B902AE">
        <w:rPr>
          <w:szCs w:val="24"/>
        </w:rPr>
        <w:t>audit work.</w:t>
      </w:r>
    </w:p>
    <w:p w14:paraId="14E011C2" w14:textId="77777777" w:rsidR="00882D18" w:rsidRPr="00882D18" w:rsidRDefault="00882D18" w:rsidP="00882D18">
      <w:pPr>
        <w:ind w:left="426"/>
        <w:jc w:val="both"/>
        <w:rPr>
          <w:szCs w:val="24"/>
        </w:rPr>
      </w:pPr>
    </w:p>
    <w:p w14:paraId="534CEE8D" w14:textId="76C5176C" w:rsidR="00882D18" w:rsidRDefault="00882D18" w:rsidP="00E54E13">
      <w:pPr>
        <w:numPr>
          <w:ilvl w:val="0"/>
          <w:numId w:val="18"/>
        </w:numPr>
        <w:ind w:left="426" w:hanging="426"/>
        <w:jc w:val="both"/>
        <w:rPr>
          <w:szCs w:val="24"/>
        </w:rPr>
      </w:pPr>
      <w:r>
        <w:rPr>
          <w:szCs w:val="24"/>
        </w:rPr>
        <w:t>The auditors, Mazars, are aware that this Committee wishes them to present their report on the outcome of the audit – this is scheduled for the Committee’s next meeting</w:t>
      </w:r>
      <w:r w:rsidR="0024584C">
        <w:rPr>
          <w:szCs w:val="24"/>
        </w:rPr>
        <w:t xml:space="preserve"> on </w:t>
      </w:r>
      <w:r w:rsidR="00755881">
        <w:rPr>
          <w:szCs w:val="24"/>
        </w:rPr>
        <w:t>2</w:t>
      </w:r>
      <w:r w:rsidR="0024584C">
        <w:rPr>
          <w:szCs w:val="24"/>
        </w:rPr>
        <w:t xml:space="preserve">1 </w:t>
      </w:r>
      <w:r w:rsidR="00755881">
        <w:rPr>
          <w:szCs w:val="24"/>
        </w:rPr>
        <w:t>Nove</w:t>
      </w:r>
      <w:r w:rsidR="0024584C">
        <w:rPr>
          <w:szCs w:val="24"/>
        </w:rPr>
        <w:t>mber 2023</w:t>
      </w:r>
      <w:r>
        <w:rPr>
          <w:szCs w:val="24"/>
        </w:rPr>
        <w:t>.</w:t>
      </w:r>
    </w:p>
    <w:p w14:paraId="6632412F" w14:textId="77777777" w:rsidR="00882D18" w:rsidRDefault="00882D18" w:rsidP="00882D18">
      <w:pPr>
        <w:pStyle w:val="ListParagraph"/>
        <w:rPr>
          <w:szCs w:val="24"/>
        </w:rPr>
      </w:pPr>
    </w:p>
    <w:p w14:paraId="55B0441F" w14:textId="36BF9A12" w:rsidR="00882D18" w:rsidRPr="00882D18" w:rsidRDefault="00882D18" w:rsidP="00882D18">
      <w:pPr>
        <w:jc w:val="both"/>
        <w:rPr>
          <w:b/>
          <w:bCs/>
          <w:szCs w:val="24"/>
        </w:rPr>
      </w:pPr>
      <w:r>
        <w:rPr>
          <w:b/>
          <w:bCs/>
          <w:szCs w:val="24"/>
        </w:rPr>
        <w:t>G</w:t>
      </w:r>
      <w:r w:rsidR="00B902AE">
        <w:rPr>
          <w:b/>
          <w:bCs/>
          <w:szCs w:val="24"/>
        </w:rPr>
        <w:t>.</w:t>
      </w:r>
      <w:r>
        <w:rPr>
          <w:b/>
          <w:bCs/>
          <w:szCs w:val="24"/>
        </w:rPr>
        <w:t xml:space="preserve"> Other Matters – Government Consultations</w:t>
      </w:r>
      <w:r w:rsidR="003F385A">
        <w:rPr>
          <w:b/>
          <w:bCs/>
          <w:szCs w:val="24"/>
        </w:rPr>
        <w:t xml:space="preserve"> affecting the LGPS </w:t>
      </w:r>
    </w:p>
    <w:p w14:paraId="037C0669" w14:textId="77777777" w:rsidR="00882D18" w:rsidRDefault="00882D18" w:rsidP="00882D18">
      <w:pPr>
        <w:pStyle w:val="ListParagraph"/>
        <w:rPr>
          <w:szCs w:val="24"/>
        </w:rPr>
      </w:pPr>
    </w:p>
    <w:p w14:paraId="12EB82D5" w14:textId="345320A1" w:rsidR="00CF0F17" w:rsidRPr="00CF0F17" w:rsidRDefault="00CF0F17" w:rsidP="00CF0F17">
      <w:pPr>
        <w:numPr>
          <w:ilvl w:val="0"/>
          <w:numId w:val="18"/>
        </w:numPr>
        <w:ind w:left="426" w:hanging="426"/>
        <w:jc w:val="both"/>
        <w:rPr>
          <w:szCs w:val="24"/>
        </w:rPr>
      </w:pPr>
      <w:r>
        <w:t>At the</w:t>
      </w:r>
      <w:r w:rsidRPr="00CF0F17">
        <w:t xml:space="preserve"> annual Mansion House dinner, </w:t>
      </w:r>
      <w:r>
        <w:t xml:space="preserve">during his speech </w:t>
      </w:r>
      <w:r w:rsidRPr="00CF0F17">
        <w:t xml:space="preserve">the chancellor announced reforms for the LGPS in England and Wales, covering asset pooling, levelling up and opportunities in private equity. Following this, the </w:t>
      </w:r>
      <w:r>
        <w:t xml:space="preserve">next day, the </w:t>
      </w:r>
      <w:r w:rsidRPr="00CF0F17">
        <w:t xml:space="preserve">Department for Levelling Up Housing and Communities (DLUHC), published a consultation </w:t>
      </w:r>
      <w:r>
        <w:t xml:space="preserve">on the areas the chancellor highlighted in his speech. </w:t>
      </w:r>
      <w:r w:rsidRPr="00CF0F17">
        <w:t>Please see the link below for the consultation:</w:t>
      </w:r>
    </w:p>
    <w:p w14:paraId="0C05DD43" w14:textId="44BFEDA1" w:rsidR="00CF0F17" w:rsidRDefault="00E1468F" w:rsidP="00CF0F17">
      <w:pPr>
        <w:ind w:left="426"/>
        <w:jc w:val="both"/>
      </w:pPr>
      <w:hyperlink r:id="rId11" w:history="1">
        <w:r w:rsidR="00FD5078">
          <w:rPr>
            <w:rStyle w:val="Hyperlink"/>
          </w:rPr>
          <w:t>Local Government Pension Scheme (England and Wales): Next steps on investments - GOV.UK (www.gov.uk)</w:t>
        </w:r>
      </w:hyperlink>
    </w:p>
    <w:p w14:paraId="504A2BC9" w14:textId="77777777" w:rsidR="00CF0F17" w:rsidRDefault="00CF0F17" w:rsidP="00CF0F17">
      <w:pPr>
        <w:ind w:left="426"/>
        <w:jc w:val="both"/>
      </w:pPr>
      <w:r w:rsidRPr="00CF0F17">
        <w:t> </w:t>
      </w:r>
    </w:p>
    <w:p w14:paraId="487E8DF8" w14:textId="35825230" w:rsidR="00CF0F17" w:rsidRPr="00FD5078" w:rsidRDefault="00FD5078" w:rsidP="00FD5078">
      <w:pPr>
        <w:numPr>
          <w:ilvl w:val="0"/>
          <w:numId w:val="18"/>
        </w:numPr>
        <w:ind w:left="426" w:hanging="426"/>
        <w:jc w:val="both"/>
        <w:rPr>
          <w:rFonts w:cs="Arial"/>
          <w:szCs w:val="24"/>
        </w:rPr>
      </w:pPr>
      <w:r w:rsidRPr="00FD5078">
        <w:rPr>
          <w:rFonts w:cs="Arial"/>
          <w:szCs w:val="24"/>
        </w:rPr>
        <w:t xml:space="preserve">Primarily </w:t>
      </w:r>
      <w:r w:rsidR="00CF0F17" w:rsidRPr="00FD5078">
        <w:rPr>
          <w:rFonts w:cs="Arial"/>
          <w:szCs w:val="24"/>
        </w:rPr>
        <w:t>the consultation covers five areas</w:t>
      </w:r>
      <w:r w:rsidRPr="00FD5078">
        <w:rPr>
          <w:rFonts w:cs="Arial"/>
          <w:szCs w:val="24"/>
        </w:rPr>
        <w:t>:</w:t>
      </w:r>
    </w:p>
    <w:p w14:paraId="3A1935AA" w14:textId="77777777" w:rsidR="00CF0F17" w:rsidRPr="00FD5078" w:rsidRDefault="00CF0F17" w:rsidP="00FD5078">
      <w:pPr>
        <w:pStyle w:val="ListParagraph"/>
        <w:numPr>
          <w:ilvl w:val="0"/>
          <w:numId w:val="39"/>
        </w:numPr>
        <w:jc w:val="both"/>
        <w:rPr>
          <w:sz w:val="24"/>
          <w:szCs w:val="24"/>
        </w:rPr>
      </w:pPr>
      <w:r w:rsidRPr="00FD5078">
        <w:rPr>
          <w:sz w:val="24"/>
          <w:szCs w:val="24"/>
        </w:rPr>
        <w:t>Acceleration and expansion of pooling - all assets into the pools by 2025 and each investment pool to be £50bn+ which could mean pool consolidation.</w:t>
      </w:r>
    </w:p>
    <w:p w14:paraId="742C9B0A" w14:textId="77777777" w:rsidR="00CF0F17" w:rsidRPr="00FD5078" w:rsidRDefault="00CF0F17" w:rsidP="00FD5078">
      <w:pPr>
        <w:pStyle w:val="ListParagraph"/>
        <w:numPr>
          <w:ilvl w:val="0"/>
          <w:numId w:val="39"/>
        </w:numPr>
        <w:jc w:val="both"/>
        <w:rPr>
          <w:sz w:val="24"/>
          <w:szCs w:val="24"/>
        </w:rPr>
      </w:pPr>
      <w:r w:rsidRPr="00FD5078">
        <w:rPr>
          <w:sz w:val="24"/>
          <w:szCs w:val="24"/>
        </w:rPr>
        <w:t>Expectation for funds to invest up to 5% of assets, supporting UK levelling up</w:t>
      </w:r>
    </w:p>
    <w:p w14:paraId="6E44B821" w14:textId="77777777" w:rsidR="00CF0F17" w:rsidRPr="00FD5078" w:rsidRDefault="00CF0F17" w:rsidP="00FD5078">
      <w:pPr>
        <w:pStyle w:val="ListParagraph"/>
        <w:numPr>
          <w:ilvl w:val="0"/>
          <w:numId w:val="39"/>
        </w:numPr>
        <w:jc w:val="both"/>
        <w:rPr>
          <w:sz w:val="24"/>
          <w:szCs w:val="24"/>
        </w:rPr>
      </w:pPr>
      <w:r w:rsidRPr="00FD5078">
        <w:rPr>
          <w:sz w:val="24"/>
          <w:szCs w:val="24"/>
        </w:rPr>
        <w:lastRenderedPageBreak/>
        <w:t>Increase investments in unlisted equity - looking for a 10% allocation to private equity  </w:t>
      </w:r>
    </w:p>
    <w:p w14:paraId="5D58C099" w14:textId="77777777" w:rsidR="00CF0F17" w:rsidRPr="00FD5078" w:rsidRDefault="00CF0F17" w:rsidP="00FD5078">
      <w:pPr>
        <w:pStyle w:val="ListParagraph"/>
        <w:numPr>
          <w:ilvl w:val="0"/>
          <w:numId w:val="39"/>
        </w:numPr>
        <w:jc w:val="both"/>
        <w:rPr>
          <w:sz w:val="24"/>
          <w:szCs w:val="24"/>
        </w:rPr>
      </w:pPr>
      <w:r w:rsidRPr="00FD5078">
        <w:rPr>
          <w:sz w:val="24"/>
          <w:szCs w:val="24"/>
        </w:rPr>
        <w:t>Amendments to LGPS regulations around the use of investment consultants - Officially implementing CMA requirements on investment consultants</w:t>
      </w:r>
    </w:p>
    <w:p w14:paraId="30E19C1A" w14:textId="77777777" w:rsidR="00CF0F17" w:rsidRPr="00FD5078" w:rsidRDefault="00CF0F17" w:rsidP="00FD5078">
      <w:pPr>
        <w:pStyle w:val="ListParagraph"/>
        <w:numPr>
          <w:ilvl w:val="0"/>
          <w:numId w:val="39"/>
        </w:numPr>
        <w:jc w:val="both"/>
        <w:rPr>
          <w:sz w:val="24"/>
          <w:szCs w:val="24"/>
        </w:rPr>
      </w:pPr>
      <w:r w:rsidRPr="00FD5078">
        <w:rPr>
          <w:sz w:val="24"/>
          <w:szCs w:val="24"/>
        </w:rPr>
        <w:t xml:space="preserve">Technical changes to definition of investments within LGPS regulations </w:t>
      </w:r>
    </w:p>
    <w:p w14:paraId="2ED883B7" w14:textId="79D684DB" w:rsidR="00CF0F17" w:rsidRDefault="00CF0F17" w:rsidP="00FD5078">
      <w:pPr>
        <w:ind w:left="426"/>
        <w:jc w:val="both"/>
      </w:pPr>
      <w:r w:rsidRPr="00CF0F17">
        <w:t> </w:t>
      </w:r>
      <w:r w:rsidRPr="00FD5078">
        <w:t> </w:t>
      </w:r>
    </w:p>
    <w:p w14:paraId="6C8B2515" w14:textId="4BBF7CDC" w:rsidR="00CF0F17" w:rsidRPr="00001D28" w:rsidRDefault="00FD5078" w:rsidP="00882D18">
      <w:pPr>
        <w:numPr>
          <w:ilvl w:val="0"/>
          <w:numId w:val="18"/>
        </w:numPr>
        <w:ind w:left="426" w:hanging="426"/>
        <w:jc w:val="both"/>
        <w:rPr>
          <w:szCs w:val="24"/>
        </w:rPr>
      </w:pPr>
      <w:r>
        <w:rPr>
          <w:szCs w:val="24"/>
        </w:rPr>
        <w:t>This consultation closes at 11:59pm on 2 October 2023.</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B902AE">
      <w:pPr>
        <w:numPr>
          <w:ilvl w:val="0"/>
          <w:numId w:val="18"/>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B902AE">
      <w:pPr>
        <w:ind w:left="426"/>
        <w:jc w:val="both"/>
      </w:pPr>
    </w:p>
    <w:p w14:paraId="53004637" w14:textId="73BA94D7" w:rsidR="007E7AA4" w:rsidRPr="007E7AA4" w:rsidRDefault="007E7AA4" w:rsidP="00B902AE">
      <w:pPr>
        <w:numPr>
          <w:ilvl w:val="0"/>
          <w:numId w:val="18"/>
        </w:numPr>
        <w:ind w:left="426" w:hanging="426"/>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B902AE">
      <w:pPr>
        <w:shd w:val="clear" w:color="auto" w:fill="FFFFFF"/>
        <w:jc w:val="both"/>
        <w:rPr>
          <w:rFonts w:cs="Arial"/>
          <w:color w:val="262626"/>
          <w:szCs w:val="24"/>
          <w:lang w:eastAsia="en-GB"/>
        </w:rPr>
      </w:pPr>
      <w:r w:rsidRPr="007E7AA4">
        <w:rPr>
          <w:rFonts w:cs="Arial"/>
          <w:color w:val="262626"/>
          <w:szCs w:val="24"/>
          <w:lang w:val="en-US" w:eastAsia="en-GB"/>
        </w:rPr>
        <w:t> </w:t>
      </w:r>
    </w:p>
    <w:p w14:paraId="17D2B6CA"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6D03FC">
        <w:rPr>
          <w:color w:val="262626"/>
          <w:sz w:val="24"/>
          <w:szCs w:val="24"/>
        </w:rPr>
        <w:t>Officer;</w:t>
      </w:r>
      <w:proofErr w:type="gramEnd"/>
    </w:p>
    <w:p w14:paraId="09BB24A6" w14:textId="77777777" w:rsidR="00001D28" w:rsidRDefault="00001D28" w:rsidP="00001D28">
      <w:pPr>
        <w:pStyle w:val="ListParagraph"/>
        <w:shd w:val="clear" w:color="auto" w:fill="FFFFFF"/>
        <w:ind w:left="944"/>
        <w:jc w:val="both"/>
        <w:rPr>
          <w:color w:val="262626"/>
          <w:sz w:val="24"/>
          <w:szCs w:val="24"/>
        </w:rPr>
      </w:pPr>
    </w:p>
    <w:p w14:paraId="6B79AFCC"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the determination of applications under the Local Government Superannuation Regulations and the Teachers’ Superannuation </w:t>
      </w:r>
      <w:proofErr w:type="gramStart"/>
      <w:r w:rsidRPr="006D03FC">
        <w:rPr>
          <w:color w:val="262626"/>
          <w:sz w:val="24"/>
          <w:szCs w:val="24"/>
        </w:rPr>
        <w:t>Regulations;</w:t>
      </w:r>
      <w:proofErr w:type="gramEnd"/>
    </w:p>
    <w:p w14:paraId="365A077E" w14:textId="77777777" w:rsidR="00001D28" w:rsidRDefault="00001D28" w:rsidP="00001D28">
      <w:pPr>
        <w:pStyle w:val="ListParagraph"/>
        <w:shd w:val="clear" w:color="auto" w:fill="FFFFFF"/>
        <w:ind w:left="944"/>
        <w:jc w:val="both"/>
        <w:rPr>
          <w:color w:val="262626"/>
          <w:sz w:val="24"/>
          <w:szCs w:val="24"/>
        </w:rPr>
      </w:pPr>
    </w:p>
    <w:p w14:paraId="36DE3348"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to administer all matters concerning the Council’s pension investments in accordance with the law and Council </w:t>
      </w:r>
      <w:proofErr w:type="gramStart"/>
      <w:r w:rsidRPr="006D03FC">
        <w:rPr>
          <w:color w:val="262626"/>
          <w:sz w:val="24"/>
          <w:szCs w:val="24"/>
        </w:rPr>
        <w:t>policy;</w:t>
      </w:r>
      <w:proofErr w:type="gramEnd"/>
    </w:p>
    <w:p w14:paraId="05622814" w14:textId="77777777" w:rsidR="00001D28" w:rsidRDefault="00001D28" w:rsidP="00001D28">
      <w:pPr>
        <w:pStyle w:val="ListParagraph"/>
        <w:shd w:val="clear" w:color="auto" w:fill="FFFFFF"/>
        <w:ind w:left="944"/>
        <w:jc w:val="both"/>
        <w:rPr>
          <w:color w:val="262626"/>
          <w:sz w:val="24"/>
          <w:szCs w:val="24"/>
        </w:rPr>
      </w:pPr>
    </w:p>
    <w:p w14:paraId="21A82F5B"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establish a strategy for the disposition of the pension investment portfolio;</w:t>
      </w:r>
      <w:r>
        <w:rPr>
          <w:color w:val="262626"/>
          <w:sz w:val="24"/>
          <w:szCs w:val="24"/>
        </w:rPr>
        <w:t xml:space="preserve"> and</w:t>
      </w:r>
    </w:p>
    <w:p w14:paraId="4C2D705A" w14:textId="77777777" w:rsidR="00001D28" w:rsidRDefault="00001D28" w:rsidP="00001D28">
      <w:pPr>
        <w:pStyle w:val="ListParagraph"/>
        <w:shd w:val="clear" w:color="auto" w:fill="FFFFFF"/>
        <w:ind w:left="944"/>
        <w:jc w:val="both"/>
        <w:rPr>
          <w:color w:val="262626"/>
          <w:sz w:val="24"/>
          <w:szCs w:val="24"/>
        </w:rPr>
      </w:pPr>
    </w:p>
    <w:p w14:paraId="063C12AD" w14:textId="77777777" w:rsidR="00001D28" w:rsidRPr="001D0C5D"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appoint and determine the investment managers’ delegation of powers of management of the fund.</w:t>
      </w:r>
    </w:p>
    <w:p w14:paraId="40A4BAC0" w14:textId="77777777" w:rsidR="007B6C97" w:rsidRDefault="007B6C97" w:rsidP="007B6C97">
      <w:pPr>
        <w:pStyle w:val="Heading2"/>
        <w:spacing w:after="240"/>
      </w:pPr>
      <w:r>
        <w:t>Financial Implications</w:t>
      </w:r>
    </w:p>
    <w:p w14:paraId="23F40322" w14:textId="6FA7BBA5" w:rsidR="007B6C97" w:rsidRPr="00001D28" w:rsidRDefault="007B6C97" w:rsidP="00B902AE">
      <w:pPr>
        <w:numPr>
          <w:ilvl w:val="0"/>
          <w:numId w:val="18"/>
        </w:numPr>
        <w:autoSpaceDE w:val="0"/>
        <w:autoSpaceDN w:val="0"/>
        <w:adjustRightInd w:val="0"/>
        <w:ind w:left="426" w:hanging="426"/>
        <w:jc w:val="both"/>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B902AE">
      <w:pPr>
        <w:numPr>
          <w:ilvl w:val="0"/>
          <w:numId w:val="18"/>
        </w:numPr>
        <w:autoSpaceDE w:val="0"/>
        <w:autoSpaceDN w:val="0"/>
        <w:adjustRightInd w:val="0"/>
        <w:ind w:left="426" w:hanging="426"/>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3C32E57C" w:rsidR="00690F76" w:rsidRPr="00690F76" w:rsidRDefault="00690F76" w:rsidP="00B902AE">
      <w:pPr>
        <w:ind w:right="141" w:firstLine="426"/>
        <w:jc w:val="both"/>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5914981F" w14:textId="58D2B82B" w:rsidR="003F5AF9" w:rsidRPr="003F5AF9" w:rsidRDefault="00690F76" w:rsidP="00B902AE">
      <w:pPr>
        <w:numPr>
          <w:ilvl w:val="0"/>
          <w:numId w:val="18"/>
        </w:numPr>
        <w:autoSpaceDE w:val="0"/>
        <w:autoSpaceDN w:val="0"/>
        <w:adjustRightInd w:val="0"/>
        <w:ind w:left="426"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183CB6">
        <w:t xml:space="preserve">appears elsewhere on this agenda. </w:t>
      </w:r>
      <w:r w:rsidR="003F5AF9">
        <w:t xml:space="preserve"> </w:t>
      </w:r>
    </w:p>
    <w:p w14:paraId="40F78A56" w14:textId="77777777" w:rsidR="003F5AF9" w:rsidRPr="003F5AF9" w:rsidRDefault="003F5AF9" w:rsidP="00B902AE">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B902AE">
      <w:pPr>
        <w:numPr>
          <w:ilvl w:val="0"/>
          <w:numId w:val="18"/>
        </w:numPr>
        <w:autoSpaceDE w:val="0"/>
        <w:autoSpaceDN w:val="0"/>
        <w:adjustRightInd w:val="0"/>
        <w:ind w:left="426" w:hanging="426"/>
        <w:jc w:val="both"/>
        <w:rPr>
          <w:rFonts w:cs="Arial"/>
          <w:color w:val="000000"/>
          <w:szCs w:val="24"/>
          <w:lang w:eastAsia="en-GB"/>
        </w:rPr>
      </w:pPr>
      <w:r w:rsidRPr="00690F76">
        <w:lastRenderedPageBreak/>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B902AE">
      <w:pPr>
        <w:numPr>
          <w:ilvl w:val="0"/>
          <w:numId w:val="18"/>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B902AE">
      <w:pPr>
        <w:autoSpaceDE w:val="0"/>
        <w:autoSpaceDN w:val="0"/>
        <w:adjustRightInd w:val="0"/>
        <w:ind w:left="426"/>
        <w:jc w:val="both"/>
      </w:pPr>
      <w:r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B902AE">
      <w:pPr>
        <w:numPr>
          <w:ilvl w:val="0"/>
          <w:numId w:val="18"/>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0" w:name="_Hlk144884151"/>
      <w:r w:rsidR="00A22721">
        <w:rPr>
          <w:b/>
          <w:sz w:val="28"/>
        </w:rPr>
        <w:t>Sharon Daniels</w:t>
      </w:r>
      <w:bookmarkEnd w:id="0"/>
    </w:p>
    <w:p w14:paraId="57640BD9" w14:textId="3A3DF721" w:rsidR="00912904" w:rsidRPr="00A66326" w:rsidRDefault="00912904" w:rsidP="00912904">
      <w:r w:rsidRPr="00A66326">
        <w:t>Signed by the Chief Financial Officer</w:t>
      </w:r>
    </w:p>
    <w:p w14:paraId="7DF3B061" w14:textId="6EFCF960"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7596BE37" w:rsidR="009303ED" w:rsidRPr="00A66326" w:rsidRDefault="00912904" w:rsidP="009303ED">
      <w:pPr>
        <w:spacing w:after="480"/>
        <w:rPr>
          <w:sz w:val="28"/>
        </w:rPr>
      </w:pPr>
      <w:r w:rsidRPr="00A66326">
        <w:rPr>
          <w:b/>
          <w:sz w:val="28"/>
        </w:rPr>
        <w:t>Date:</w:t>
      </w:r>
      <w:r w:rsidR="00E23991">
        <w:rPr>
          <w:b/>
          <w:sz w:val="28"/>
        </w:rPr>
        <w:t xml:space="preserve"> </w:t>
      </w:r>
      <w:r w:rsidR="00A22721">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37BFCED7"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12"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lastRenderedPageBreak/>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4B4" w14:textId="77777777" w:rsidR="000526EB" w:rsidRDefault="000526EB">
      <w:r>
        <w:separator/>
      </w:r>
    </w:p>
  </w:endnote>
  <w:endnote w:type="continuationSeparator" w:id="0">
    <w:p w14:paraId="21C85774" w14:textId="77777777" w:rsidR="000526EB" w:rsidRDefault="000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E3A" w14:textId="77777777" w:rsidR="000526EB" w:rsidRDefault="000526EB">
      <w:r>
        <w:separator/>
      </w:r>
    </w:p>
  </w:footnote>
  <w:footnote w:type="continuationSeparator" w:id="0">
    <w:p w14:paraId="5175BE84" w14:textId="77777777" w:rsidR="000526EB" w:rsidRDefault="0005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9585F"/>
    <w:multiLevelType w:val="hybridMultilevel"/>
    <w:tmpl w:val="1F3C8D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5C6196"/>
    <w:multiLevelType w:val="hybridMultilevel"/>
    <w:tmpl w:val="FC084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2DD3C49"/>
    <w:multiLevelType w:val="hybridMultilevel"/>
    <w:tmpl w:val="1B5630D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611059D"/>
    <w:multiLevelType w:val="multilevel"/>
    <w:tmpl w:val="F198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916E5"/>
    <w:multiLevelType w:val="hybridMultilevel"/>
    <w:tmpl w:val="15B4D9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0"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EB079B"/>
    <w:multiLevelType w:val="hybridMultilevel"/>
    <w:tmpl w:val="8E4A0F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65995">
    <w:abstractNumId w:val="34"/>
  </w:num>
  <w:num w:numId="2" w16cid:durableId="1921325640">
    <w:abstractNumId w:val="24"/>
  </w:num>
  <w:num w:numId="3" w16cid:durableId="1356693287">
    <w:abstractNumId w:val="33"/>
  </w:num>
  <w:num w:numId="4" w16cid:durableId="1348369598">
    <w:abstractNumId w:val="1"/>
  </w:num>
  <w:num w:numId="5" w16cid:durableId="20199648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24191">
    <w:abstractNumId w:val="17"/>
  </w:num>
  <w:num w:numId="7" w16cid:durableId="1386833695">
    <w:abstractNumId w:val="20"/>
  </w:num>
  <w:num w:numId="8" w16cid:durableId="1541354287">
    <w:abstractNumId w:val="11"/>
  </w:num>
  <w:num w:numId="9" w16cid:durableId="98378139">
    <w:abstractNumId w:val="7"/>
  </w:num>
  <w:num w:numId="10" w16cid:durableId="896091699">
    <w:abstractNumId w:val="32"/>
  </w:num>
  <w:num w:numId="11" w16cid:durableId="792402225">
    <w:abstractNumId w:val="37"/>
  </w:num>
  <w:num w:numId="12" w16cid:durableId="67307889">
    <w:abstractNumId w:val="31"/>
  </w:num>
  <w:num w:numId="13" w16cid:durableId="1962762317">
    <w:abstractNumId w:val="3"/>
  </w:num>
  <w:num w:numId="14" w16cid:durableId="697201420">
    <w:abstractNumId w:val="15"/>
  </w:num>
  <w:num w:numId="15" w16cid:durableId="1810512730">
    <w:abstractNumId w:val="23"/>
  </w:num>
  <w:num w:numId="16" w16cid:durableId="1373574059">
    <w:abstractNumId w:val="9"/>
  </w:num>
  <w:num w:numId="17" w16cid:durableId="540554566">
    <w:abstractNumId w:val="36"/>
  </w:num>
  <w:num w:numId="18" w16cid:durableId="1923373673">
    <w:abstractNumId w:val="35"/>
  </w:num>
  <w:num w:numId="19" w16cid:durableId="255794258">
    <w:abstractNumId w:val="26"/>
  </w:num>
  <w:num w:numId="20" w16cid:durableId="1468162388">
    <w:abstractNumId w:val="0"/>
  </w:num>
  <w:num w:numId="21" w16cid:durableId="421923255">
    <w:abstractNumId w:val="5"/>
  </w:num>
  <w:num w:numId="22" w16cid:durableId="928730588">
    <w:abstractNumId w:val="30"/>
  </w:num>
  <w:num w:numId="23" w16cid:durableId="599681206">
    <w:abstractNumId w:val="12"/>
  </w:num>
  <w:num w:numId="24" w16cid:durableId="1677926623">
    <w:abstractNumId w:val="4"/>
  </w:num>
  <w:num w:numId="25" w16cid:durableId="639723455">
    <w:abstractNumId w:val="10"/>
  </w:num>
  <w:num w:numId="26" w16cid:durableId="126826156">
    <w:abstractNumId w:val="29"/>
  </w:num>
  <w:num w:numId="27" w16cid:durableId="1735271561">
    <w:abstractNumId w:val="6"/>
  </w:num>
  <w:num w:numId="28" w16cid:durableId="944505646">
    <w:abstractNumId w:val="19"/>
  </w:num>
  <w:num w:numId="29" w16cid:durableId="1839156675">
    <w:abstractNumId w:val="8"/>
  </w:num>
  <w:num w:numId="30" w16cid:durableId="1395205232">
    <w:abstractNumId w:val="22"/>
  </w:num>
  <w:num w:numId="31" w16cid:durableId="1902985239">
    <w:abstractNumId w:val="16"/>
  </w:num>
  <w:num w:numId="32" w16cid:durableId="871113823">
    <w:abstractNumId w:val="25"/>
  </w:num>
  <w:num w:numId="33" w16cid:durableId="534121542">
    <w:abstractNumId w:val="28"/>
  </w:num>
  <w:num w:numId="34" w16cid:durableId="807166312">
    <w:abstractNumId w:val="21"/>
  </w:num>
  <w:num w:numId="35" w16cid:durableId="543450785">
    <w:abstractNumId w:val="18"/>
  </w:num>
  <w:num w:numId="36" w16cid:durableId="349837640">
    <w:abstractNumId w:val="2"/>
  </w:num>
  <w:num w:numId="37" w16cid:durableId="265700381">
    <w:abstractNumId w:val="27"/>
  </w:num>
  <w:num w:numId="38" w16cid:durableId="3259410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7669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7448"/>
    <w:rsid w:val="00023F4C"/>
    <w:rsid w:val="000526EB"/>
    <w:rsid w:val="00057F10"/>
    <w:rsid w:val="00061BEF"/>
    <w:rsid w:val="000633A2"/>
    <w:rsid w:val="000672B2"/>
    <w:rsid w:val="00071EB4"/>
    <w:rsid w:val="00074CA8"/>
    <w:rsid w:val="00077298"/>
    <w:rsid w:val="00095463"/>
    <w:rsid w:val="000A0114"/>
    <w:rsid w:val="000A58A1"/>
    <w:rsid w:val="000A6659"/>
    <w:rsid w:val="000B0E6F"/>
    <w:rsid w:val="000B6DBB"/>
    <w:rsid w:val="000D0D4B"/>
    <w:rsid w:val="000D2BF2"/>
    <w:rsid w:val="000D5870"/>
    <w:rsid w:val="000E1DF6"/>
    <w:rsid w:val="000F65C0"/>
    <w:rsid w:val="00131AED"/>
    <w:rsid w:val="00135B2B"/>
    <w:rsid w:val="001429F9"/>
    <w:rsid w:val="00143EFA"/>
    <w:rsid w:val="00164428"/>
    <w:rsid w:val="00164E26"/>
    <w:rsid w:val="001744D1"/>
    <w:rsid w:val="00183CB6"/>
    <w:rsid w:val="00192DF2"/>
    <w:rsid w:val="001939BA"/>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31A1D"/>
    <w:rsid w:val="00244120"/>
    <w:rsid w:val="0024584C"/>
    <w:rsid w:val="00282DAB"/>
    <w:rsid w:val="00286484"/>
    <w:rsid w:val="0029126E"/>
    <w:rsid w:val="00293F9F"/>
    <w:rsid w:val="002A2389"/>
    <w:rsid w:val="002C08E2"/>
    <w:rsid w:val="002C1794"/>
    <w:rsid w:val="002D2FC5"/>
    <w:rsid w:val="002E6637"/>
    <w:rsid w:val="002E77E3"/>
    <w:rsid w:val="00300B52"/>
    <w:rsid w:val="00324778"/>
    <w:rsid w:val="00332947"/>
    <w:rsid w:val="00333EB4"/>
    <w:rsid w:val="00340BE8"/>
    <w:rsid w:val="003453FF"/>
    <w:rsid w:val="00345915"/>
    <w:rsid w:val="003500A1"/>
    <w:rsid w:val="00351F6B"/>
    <w:rsid w:val="00365D29"/>
    <w:rsid w:val="00374F22"/>
    <w:rsid w:val="003D2FFE"/>
    <w:rsid w:val="003D5F0A"/>
    <w:rsid w:val="003F0B3C"/>
    <w:rsid w:val="003F385A"/>
    <w:rsid w:val="003F5AF9"/>
    <w:rsid w:val="00400032"/>
    <w:rsid w:val="00414C40"/>
    <w:rsid w:val="0042394B"/>
    <w:rsid w:val="0044467B"/>
    <w:rsid w:val="0045301E"/>
    <w:rsid w:val="0045365E"/>
    <w:rsid w:val="004540B8"/>
    <w:rsid w:val="00473B08"/>
    <w:rsid w:val="00474B5F"/>
    <w:rsid w:val="004A3CE6"/>
    <w:rsid w:val="004A4A1D"/>
    <w:rsid w:val="004B2C9D"/>
    <w:rsid w:val="004B4A47"/>
    <w:rsid w:val="004C1AEC"/>
    <w:rsid w:val="004E3FBD"/>
    <w:rsid w:val="004E667D"/>
    <w:rsid w:val="004E6AF9"/>
    <w:rsid w:val="004F6C28"/>
    <w:rsid w:val="004F6DD8"/>
    <w:rsid w:val="00502F94"/>
    <w:rsid w:val="005031DF"/>
    <w:rsid w:val="0050363C"/>
    <w:rsid w:val="00506391"/>
    <w:rsid w:val="00517A3F"/>
    <w:rsid w:val="0053037D"/>
    <w:rsid w:val="005608EF"/>
    <w:rsid w:val="00561EC5"/>
    <w:rsid w:val="005821C4"/>
    <w:rsid w:val="00597314"/>
    <w:rsid w:val="005A61AF"/>
    <w:rsid w:val="005B1C57"/>
    <w:rsid w:val="005D0886"/>
    <w:rsid w:val="005D0D93"/>
    <w:rsid w:val="005D43D1"/>
    <w:rsid w:val="005E384D"/>
    <w:rsid w:val="005F2181"/>
    <w:rsid w:val="005F724B"/>
    <w:rsid w:val="00603EC9"/>
    <w:rsid w:val="00606705"/>
    <w:rsid w:val="00625DFF"/>
    <w:rsid w:val="0063072B"/>
    <w:rsid w:val="006519E8"/>
    <w:rsid w:val="00662891"/>
    <w:rsid w:val="006628B7"/>
    <w:rsid w:val="00675FCB"/>
    <w:rsid w:val="00690F76"/>
    <w:rsid w:val="00696012"/>
    <w:rsid w:val="006A0B87"/>
    <w:rsid w:val="006A6A85"/>
    <w:rsid w:val="006B3942"/>
    <w:rsid w:val="006C1B8B"/>
    <w:rsid w:val="006C3914"/>
    <w:rsid w:val="006C4D4C"/>
    <w:rsid w:val="006D0E7A"/>
    <w:rsid w:val="006D3648"/>
    <w:rsid w:val="006D754A"/>
    <w:rsid w:val="006E38C6"/>
    <w:rsid w:val="006E5A21"/>
    <w:rsid w:val="00716046"/>
    <w:rsid w:val="00717E8A"/>
    <w:rsid w:val="00733008"/>
    <w:rsid w:val="0074184E"/>
    <w:rsid w:val="00743829"/>
    <w:rsid w:val="00751C86"/>
    <w:rsid w:val="00755881"/>
    <w:rsid w:val="00755F8D"/>
    <w:rsid w:val="00784A42"/>
    <w:rsid w:val="007855AE"/>
    <w:rsid w:val="00796503"/>
    <w:rsid w:val="0079669A"/>
    <w:rsid w:val="007A37A4"/>
    <w:rsid w:val="007A42EC"/>
    <w:rsid w:val="007B0CB6"/>
    <w:rsid w:val="007B1BBB"/>
    <w:rsid w:val="007B6C97"/>
    <w:rsid w:val="007D2BDA"/>
    <w:rsid w:val="007D56C8"/>
    <w:rsid w:val="007E3934"/>
    <w:rsid w:val="007E430C"/>
    <w:rsid w:val="007E7303"/>
    <w:rsid w:val="007E7AA4"/>
    <w:rsid w:val="00804C61"/>
    <w:rsid w:val="00817E0F"/>
    <w:rsid w:val="008212A0"/>
    <w:rsid w:val="0082172F"/>
    <w:rsid w:val="00827F49"/>
    <w:rsid w:val="00837F53"/>
    <w:rsid w:val="00837FA7"/>
    <w:rsid w:val="00846323"/>
    <w:rsid w:val="00857085"/>
    <w:rsid w:val="0086270A"/>
    <w:rsid w:val="00862DDC"/>
    <w:rsid w:val="00882D18"/>
    <w:rsid w:val="0088617A"/>
    <w:rsid w:val="00887BE6"/>
    <w:rsid w:val="008A19F1"/>
    <w:rsid w:val="008D1750"/>
    <w:rsid w:val="008D7800"/>
    <w:rsid w:val="008E0CFC"/>
    <w:rsid w:val="008E2910"/>
    <w:rsid w:val="008E4913"/>
    <w:rsid w:val="008F690E"/>
    <w:rsid w:val="00900464"/>
    <w:rsid w:val="0090100E"/>
    <w:rsid w:val="00912904"/>
    <w:rsid w:val="00921889"/>
    <w:rsid w:val="00925584"/>
    <w:rsid w:val="009303ED"/>
    <w:rsid w:val="0093767E"/>
    <w:rsid w:val="00960AE2"/>
    <w:rsid w:val="00972A02"/>
    <w:rsid w:val="0099517C"/>
    <w:rsid w:val="009A0937"/>
    <w:rsid w:val="009B2ECD"/>
    <w:rsid w:val="009B7914"/>
    <w:rsid w:val="009D17DE"/>
    <w:rsid w:val="009F430B"/>
    <w:rsid w:val="00A160B2"/>
    <w:rsid w:val="00A16271"/>
    <w:rsid w:val="00A22721"/>
    <w:rsid w:val="00A23254"/>
    <w:rsid w:val="00A45751"/>
    <w:rsid w:val="00A566E7"/>
    <w:rsid w:val="00A630BF"/>
    <w:rsid w:val="00A72DC9"/>
    <w:rsid w:val="00A73B25"/>
    <w:rsid w:val="00A77232"/>
    <w:rsid w:val="00A940D3"/>
    <w:rsid w:val="00A96FCA"/>
    <w:rsid w:val="00AA3C21"/>
    <w:rsid w:val="00AA4BE8"/>
    <w:rsid w:val="00AB7E48"/>
    <w:rsid w:val="00AC01E2"/>
    <w:rsid w:val="00AC0AAB"/>
    <w:rsid w:val="00AC5593"/>
    <w:rsid w:val="00AC7BA9"/>
    <w:rsid w:val="00AD70FE"/>
    <w:rsid w:val="00AE776B"/>
    <w:rsid w:val="00B0421D"/>
    <w:rsid w:val="00B0425E"/>
    <w:rsid w:val="00B161A9"/>
    <w:rsid w:val="00B21EEA"/>
    <w:rsid w:val="00B47A22"/>
    <w:rsid w:val="00B562B1"/>
    <w:rsid w:val="00B87E80"/>
    <w:rsid w:val="00B900E2"/>
    <w:rsid w:val="00B902AE"/>
    <w:rsid w:val="00B9118E"/>
    <w:rsid w:val="00B93DE8"/>
    <w:rsid w:val="00BD5C17"/>
    <w:rsid w:val="00BD6115"/>
    <w:rsid w:val="00BD684A"/>
    <w:rsid w:val="00C00A47"/>
    <w:rsid w:val="00C13B81"/>
    <w:rsid w:val="00C20FA2"/>
    <w:rsid w:val="00C2411E"/>
    <w:rsid w:val="00C24A81"/>
    <w:rsid w:val="00C32DAE"/>
    <w:rsid w:val="00C362B9"/>
    <w:rsid w:val="00C40E24"/>
    <w:rsid w:val="00C61B80"/>
    <w:rsid w:val="00C64697"/>
    <w:rsid w:val="00C92D9A"/>
    <w:rsid w:val="00C96EF5"/>
    <w:rsid w:val="00CC2663"/>
    <w:rsid w:val="00CD41F1"/>
    <w:rsid w:val="00CE1D3C"/>
    <w:rsid w:val="00CE357B"/>
    <w:rsid w:val="00CE4CCF"/>
    <w:rsid w:val="00CE6980"/>
    <w:rsid w:val="00CF0F17"/>
    <w:rsid w:val="00D03EA3"/>
    <w:rsid w:val="00D24092"/>
    <w:rsid w:val="00D25064"/>
    <w:rsid w:val="00D32B51"/>
    <w:rsid w:val="00D34668"/>
    <w:rsid w:val="00D3740E"/>
    <w:rsid w:val="00D40335"/>
    <w:rsid w:val="00D419E6"/>
    <w:rsid w:val="00D56D80"/>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3D93"/>
    <w:rsid w:val="00E53623"/>
    <w:rsid w:val="00E54E13"/>
    <w:rsid w:val="00E609EF"/>
    <w:rsid w:val="00E6612A"/>
    <w:rsid w:val="00E8515B"/>
    <w:rsid w:val="00E90AFF"/>
    <w:rsid w:val="00E94032"/>
    <w:rsid w:val="00EA3534"/>
    <w:rsid w:val="00EC70CD"/>
    <w:rsid w:val="00EC7962"/>
    <w:rsid w:val="00ED48C9"/>
    <w:rsid w:val="00EF2F91"/>
    <w:rsid w:val="00F22AFB"/>
    <w:rsid w:val="00F23DA0"/>
    <w:rsid w:val="00F33EE3"/>
    <w:rsid w:val="00F4213B"/>
    <w:rsid w:val="00F65E9D"/>
    <w:rsid w:val="00F7686B"/>
    <w:rsid w:val="00F806B8"/>
    <w:rsid w:val="00F849ED"/>
    <w:rsid w:val="00F92398"/>
    <w:rsid w:val="00FC0D9D"/>
    <w:rsid w:val="00FC3F6A"/>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la.Tobun@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local-government-pension-scheme-england-and-wales-next-steps-on-investm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Bola Tobun</cp:lastModifiedBy>
  <cp:revision>2</cp:revision>
  <cp:lastPrinted>2007-07-12T09:53:00Z</cp:lastPrinted>
  <dcterms:created xsi:type="dcterms:W3CDTF">2023-09-06T09:25:00Z</dcterms:created>
  <dcterms:modified xsi:type="dcterms:W3CDTF">2023-09-06T09:25:00Z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